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8C" w:rsidRPr="002D5A30" w:rsidRDefault="00024D8C" w:rsidP="00024D8C">
      <w:pPr>
        <w:jc w:val="center"/>
        <w:rPr>
          <w:b/>
          <w:sz w:val="28"/>
        </w:rPr>
      </w:pPr>
      <w:r w:rsidRPr="002D5A30">
        <w:rPr>
          <w:b/>
          <w:sz w:val="28"/>
        </w:rPr>
        <w:t xml:space="preserve">EVALUASI KINERJA </w:t>
      </w:r>
      <w:r w:rsidRPr="002D5A30">
        <w:rPr>
          <w:b/>
          <w:i/>
          <w:sz w:val="28"/>
        </w:rPr>
        <w:t xml:space="preserve">SUPPLIER </w:t>
      </w:r>
      <w:r w:rsidRPr="002D5A30">
        <w:rPr>
          <w:b/>
          <w:sz w:val="28"/>
        </w:rPr>
        <w:t xml:space="preserve">BAHAN BAKU </w:t>
      </w:r>
    </w:p>
    <w:p w:rsidR="002D5A30" w:rsidRDefault="00F33DDF" w:rsidP="00024D8C">
      <w:pPr>
        <w:jc w:val="center"/>
        <w:rPr>
          <w:b/>
          <w:sz w:val="28"/>
          <w:lang w:val="en-US"/>
        </w:rPr>
      </w:pPr>
      <w:r w:rsidRPr="002D5A30">
        <w:rPr>
          <w:b/>
          <w:sz w:val="28"/>
        </w:rPr>
        <w:t xml:space="preserve">MENGGUNAKAN </w:t>
      </w:r>
      <w:r w:rsidR="00024D8C" w:rsidRPr="002D5A30">
        <w:rPr>
          <w:b/>
          <w:sz w:val="28"/>
        </w:rPr>
        <w:t xml:space="preserve">METODE </w:t>
      </w:r>
      <w:r w:rsidRPr="002D5A30">
        <w:rPr>
          <w:b/>
          <w:i/>
          <w:sz w:val="28"/>
        </w:rPr>
        <w:t>VENDOR PERFORMACE INDICATOR</w:t>
      </w:r>
      <w:r w:rsidRPr="002D5A30">
        <w:rPr>
          <w:b/>
          <w:sz w:val="28"/>
        </w:rPr>
        <w:t xml:space="preserve"> DAN </w:t>
      </w:r>
      <w:r w:rsidRPr="002D5A30">
        <w:rPr>
          <w:b/>
          <w:i/>
          <w:sz w:val="28"/>
        </w:rPr>
        <w:t>ANALYTICAL HIERARCHY PROCESS</w:t>
      </w:r>
      <w:r w:rsidR="00024D8C" w:rsidRPr="002D5A30">
        <w:rPr>
          <w:b/>
          <w:sz w:val="28"/>
        </w:rPr>
        <w:t xml:space="preserve"> </w:t>
      </w:r>
    </w:p>
    <w:p w:rsidR="00F33DDF" w:rsidRPr="002D5A30" w:rsidRDefault="00024D8C" w:rsidP="00024D8C">
      <w:pPr>
        <w:jc w:val="center"/>
        <w:rPr>
          <w:b/>
          <w:sz w:val="28"/>
        </w:rPr>
      </w:pPr>
      <w:r w:rsidRPr="002D5A30">
        <w:rPr>
          <w:b/>
          <w:sz w:val="28"/>
        </w:rPr>
        <w:t>(Studi Kasus di PT IGASAR)</w:t>
      </w:r>
    </w:p>
    <w:p w:rsidR="00C0753B" w:rsidRPr="00F33DDF" w:rsidRDefault="00C0753B" w:rsidP="00F33DDF">
      <w:pPr>
        <w:jc w:val="center"/>
        <w:rPr>
          <w:b/>
        </w:rPr>
      </w:pPr>
    </w:p>
    <w:p w:rsidR="00200E15" w:rsidRPr="002D5A30" w:rsidRDefault="003D2B75" w:rsidP="002328A3">
      <w:pPr>
        <w:jc w:val="center"/>
        <w:rPr>
          <w:b/>
          <w:bCs/>
          <w:vertAlign w:val="superscript"/>
          <w:lang w:val="sv-SE"/>
        </w:rPr>
      </w:pPr>
      <w:r w:rsidRPr="002D5A30">
        <w:rPr>
          <w:b/>
          <w:bCs/>
          <w:lang w:val="sv-SE"/>
        </w:rPr>
        <w:t>Peni Shoffiyati</w:t>
      </w:r>
      <w:r w:rsidR="00024D8C" w:rsidRPr="002D5A30">
        <w:rPr>
          <w:b/>
          <w:bCs/>
          <w:vertAlign w:val="superscript"/>
          <w:lang w:val="sv-SE"/>
        </w:rPr>
        <w:t>1</w:t>
      </w:r>
      <w:r w:rsidR="00F33DDF" w:rsidRPr="002D5A30">
        <w:rPr>
          <w:b/>
          <w:bCs/>
          <w:lang w:val="sv-SE"/>
        </w:rPr>
        <w:t>, Arifin Muslim</w:t>
      </w:r>
      <w:r w:rsidR="00024D8C" w:rsidRPr="002D5A30">
        <w:rPr>
          <w:b/>
          <w:bCs/>
          <w:vertAlign w:val="superscript"/>
          <w:lang w:val="sv-SE"/>
        </w:rPr>
        <w:t>2</w:t>
      </w:r>
    </w:p>
    <w:p w:rsidR="007A4EC9" w:rsidRPr="00DE4572" w:rsidRDefault="007A4EC9" w:rsidP="002328A3">
      <w:pPr>
        <w:jc w:val="center"/>
        <w:rPr>
          <w:bCs/>
          <w:sz w:val="20"/>
          <w:szCs w:val="20"/>
          <w:vertAlign w:val="superscript"/>
          <w:lang w:val="sv-SE"/>
        </w:rPr>
      </w:pPr>
    </w:p>
    <w:p w:rsidR="00024D8C" w:rsidRDefault="007C16A2" w:rsidP="007C16A2">
      <w:pPr>
        <w:ind w:left="360"/>
        <w:rPr>
          <w:i/>
          <w:color w:val="000000"/>
          <w:sz w:val="20"/>
          <w:lang w:val="sv-SE"/>
        </w:rPr>
      </w:pPr>
      <w:r>
        <w:rPr>
          <w:i/>
          <w:color w:val="000000"/>
          <w:sz w:val="20"/>
          <w:vertAlign w:val="superscript"/>
          <w:lang w:val="sv-SE"/>
        </w:rPr>
        <w:t>1</w:t>
      </w:r>
      <w:r>
        <w:rPr>
          <w:i/>
          <w:color w:val="000000"/>
          <w:sz w:val="20"/>
          <w:lang w:val="sv-SE"/>
        </w:rPr>
        <w:t>Manajemen Logistik Industri Agro</w:t>
      </w:r>
      <w:r w:rsidR="00025328">
        <w:rPr>
          <w:i/>
          <w:color w:val="000000"/>
          <w:sz w:val="20"/>
          <w:lang w:val="sv-SE"/>
        </w:rPr>
        <w:t>,</w:t>
      </w:r>
      <w:r w:rsidRPr="00234B0D">
        <w:rPr>
          <w:i/>
          <w:color w:val="000000"/>
          <w:sz w:val="20"/>
          <w:lang w:val="sv-SE"/>
        </w:rPr>
        <w:t xml:space="preserve"> Politeknik </w:t>
      </w:r>
      <w:r w:rsidRPr="00234B0D">
        <w:rPr>
          <w:i/>
          <w:sz w:val="20"/>
          <w:lang w:val="en-US"/>
        </w:rPr>
        <w:t>ATI Padang</w:t>
      </w:r>
      <w:r>
        <w:rPr>
          <w:i/>
          <w:sz w:val="20"/>
          <w:lang w:val="en-US"/>
        </w:rPr>
        <w:t>,</w:t>
      </w:r>
      <w:r w:rsidRPr="00234B0D">
        <w:rPr>
          <w:i/>
          <w:sz w:val="20"/>
          <w:lang w:val="en-US"/>
        </w:rPr>
        <w:t xml:space="preserve"> </w:t>
      </w:r>
      <w:r>
        <w:rPr>
          <w:i/>
          <w:color w:val="000000"/>
          <w:sz w:val="20"/>
          <w:lang w:val="sv-SE"/>
        </w:rPr>
        <w:t xml:space="preserve">Jln. </w:t>
      </w:r>
      <w:r w:rsidRPr="00234B0D">
        <w:rPr>
          <w:i/>
          <w:color w:val="000000"/>
          <w:sz w:val="20"/>
          <w:lang w:val="sv-SE"/>
        </w:rPr>
        <w:t>Bungo Pasang Tabing Padang</w:t>
      </w:r>
      <w:r>
        <w:rPr>
          <w:i/>
          <w:color w:val="000000"/>
          <w:sz w:val="20"/>
          <w:lang w:val="sv-SE"/>
        </w:rPr>
        <w:t>,</w:t>
      </w:r>
      <w:r w:rsidRPr="00234B0D">
        <w:rPr>
          <w:i/>
          <w:color w:val="000000"/>
          <w:sz w:val="20"/>
          <w:lang w:val="sv-SE"/>
        </w:rPr>
        <w:t xml:space="preserve"> 25171</w:t>
      </w:r>
    </w:p>
    <w:p w:rsidR="007C16A2" w:rsidRPr="007C16A2" w:rsidRDefault="007C16A2" w:rsidP="007C16A2">
      <w:pPr>
        <w:ind w:left="360"/>
        <w:rPr>
          <w:bCs/>
          <w:sz w:val="20"/>
          <w:szCs w:val="20"/>
          <w:lang w:val="sv-SE"/>
        </w:rPr>
      </w:pPr>
      <w:r>
        <w:rPr>
          <w:i/>
          <w:color w:val="000000"/>
          <w:sz w:val="20"/>
          <w:vertAlign w:val="superscript"/>
          <w:lang w:val="sv-SE"/>
        </w:rPr>
        <w:t>2</w:t>
      </w:r>
      <w:r>
        <w:rPr>
          <w:i/>
          <w:color w:val="000000"/>
          <w:sz w:val="20"/>
          <w:lang w:val="sv-SE"/>
        </w:rPr>
        <w:t>Manajemen Logistik Industri Agro</w:t>
      </w:r>
      <w:r w:rsidR="00025328">
        <w:rPr>
          <w:i/>
          <w:color w:val="000000"/>
          <w:sz w:val="20"/>
          <w:lang w:val="sv-SE"/>
        </w:rPr>
        <w:t>,</w:t>
      </w:r>
      <w:r w:rsidRPr="00234B0D">
        <w:rPr>
          <w:i/>
          <w:color w:val="000000"/>
          <w:sz w:val="20"/>
          <w:lang w:val="sv-SE"/>
        </w:rPr>
        <w:t xml:space="preserve"> Politeknik </w:t>
      </w:r>
      <w:r w:rsidRPr="00234B0D">
        <w:rPr>
          <w:i/>
          <w:sz w:val="20"/>
          <w:lang w:val="en-US"/>
        </w:rPr>
        <w:t>ATI Padang</w:t>
      </w:r>
      <w:r>
        <w:rPr>
          <w:i/>
          <w:sz w:val="20"/>
          <w:lang w:val="en-US"/>
        </w:rPr>
        <w:t>,</w:t>
      </w:r>
      <w:r w:rsidRPr="00234B0D">
        <w:rPr>
          <w:i/>
          <w:sz w:val="20"/>
          <w:lang w:val="en-US"/>
        </w:rPr>
        <w:t xml:space="preserve"> </w:t>
      </w:r>
      <w:r>
        <w:rPr>
          <w:i/>
          <w:color w:val="000000"/>
          <w:sz w:val="20"/>
          <w:lang w:val="sv-SE"/>
        </w:rPr>
        <w:t xml:space="preserve">Jln. </w:t>
      </w:r>
      <w:r w:rsidRPr="00234B0D">
        <w:rPr>
          <w:i/>
          <w:color w:val="000000"/>
          <w:sz w:val="20"/>
          <w:lang w:val="sv-SE"/>
        </w:rPr>
        <w:t>Bungo Pasang Tabing Padang</w:t>
      </w:r>
      <w:r>
        <w:rPr>
          <w:i/>
          <w:color w:val="000000"/>
          <w:sz w:val="20"/>
          <w:lang w:val="sv-SE"/>
        </w:rPr>
        <w:t>,</w:t>
      </w:r>
      <w:r w:rsidRPr="00234B0D">
        <w:rPr>
          <w:i/>
          <w:color w:val="000000"/>
          <w:sz w:val="20"/>
          <w:lang w:val="sv-SE"/>
        </w:rPr>
        <w:t xml:space="preserve"> 25171</w:t>
      </w:r>
    </w:p>
    <w:p w:rsidR="007C16A2" w:rsidRPr="007C16A2" w:rsidRDefault="007C16A2" w:rsidP="007C16A2">
      <w:pPr>
        <w:ind w:left="360"/>
        <w:rPr>
          <w:bCs/>
          <w:sz w:val="20"/>
          <w:szCs w:val="20"/>
          <w:lang w:val="sv-SE"/>
        </w:rPr>
      </w:pPr>
    </w:p>
    <w:p w:rsidR="007C16A2" w:rsidRPr="00DE4572" w:rsidRDefault="007C16A2" w:rsidP="007C16A2">
      <w:pPr>
        <w:ind w:left="567"/>
        <w:rPr>
          <w:bCs/>
          <w:sz w:val="20"/>
          <w:szCs w:val="20"/>
          <w:lang w:val="sv-SE"/>
        </w:rPr>
      </w:pPr>
    </w:p>
    <w:p w:rsidR="00DE4572" w:rsidRPr="00A8373B" w:rsidRDefault="00A8373B" w:rsidP="00A8373B">
      <w:pPr>
        <w:jc w:val="center"/>
        <w:rPr>
          <w:bCs/>
          <w:color w:val="000000" w:themeColor="text1"/>
          <w:sz w:val="20"/>
          <w:szCs w:val="20"/>
          <w:lang w:val="sv-SE"/>
        </w:rPr>
      </w:pPr>
      <w:r>
        <w:rPr>
          <w:bCs/>
          <w:sz w:val="20"/>
          <w:szCs w:val="20"/>
          <w:lang w:val="sv-SE"/>
        </w:rPr>
        <w:br/>
        <w:t xml:space="preserve"> *</w:t>
      </w:r>
      <w:r w:rsidR="00DE4572" w:rsidRPr="002D5A30">
        <w:rPr>
          <w:bCs/>
          <w:i/>
          <w:color w:val="000000" w:themeColor="text1"/>
          <w:sz w:val="20"/>
          <w:szCs w:val="20"/>
          <w:lang w:val="sv-SE"/>
        </w:rPr>
        <w:t xml:space="preserve">email : </w:t>
      </w:r>
      <w:hyperlink r:id="rId9" w:history="1">
        <w:r w:rsidR="00DE4572" w:rsidRPr="002D5A30">
          <w:rPr>
            <w:rStyle w:val="Hyperlink"/>
            <w:bCs/>
            <w:i/>
            <w:color w:val="000000" w:themeColor="text1"/>
            <w:sz w:val="20"/>
            <w:szCs w:val="20"/>
            <w:u w:val="none"/>
            <w:lang w:val="sv-SE"/>
          </w:rPr>
          <w:t>peni_rey@yahoo.com</w:t>
        </w:r>
      </w:hyperlink>
    </w:p>
    <w:p w:rsidR="00DE4572" w:rsidRPr="00A8373B" w:rsidRDefault="00A8373B" w:rsidP="00A8373B">
      <w:pPr>
        <w:jc w:val="center"/>
        <w:rPr>
          <w:bCs/>
          <w:color w:val="000000" w:themeColor="text1"/>
          <w:sz w:val="20"/>
          <w:szCs w:val="20"/>
          <w:lang w:val="sv-SE"/>
        </w:rPr>
      </w:pPr>
      <w:r w:rsidRPr="00A8373B">
        <w:rPr>
          <w:bCs/>
          <w:color w:val="000000" w:themeColor="text1"/>
          <w:sz w:val="20"/>
          <w:szCs w:val="20"/>
          <w:lang w:val="sv-SE"/>
        </w:rPr>
        <w:t>**</w:t>
      </w:r>
      <w:r w:rsidR="00DE4572" w:rsidRPr="002D5A30">
        <w:rPr>
          <w:bCs/>
          <w:i/>
          <w:color w:val="000000" w:themeColor="text1"/>
          <w:sz w:val="20"/>
          <w:szCs w:val="20"/>
          <w:lang w:val="sv-SE"/>
        </w:rPr>
        <w:t xml:space="preserve">email : </w:t>
      </w:r>
      <w:hyperlink r:id="rId10" w:history="1">
        <w:r w:rsidR="00DE4572" w:rsidRPr="002D5A30">
          <w:rPr>
            <w:rStyle w:val="Hyperlink"/>
            <w:bCs/>
            <w:i/>
            <w:color w:val="000000" w:themeColor="text1"/>
            <w:sz w:val="20"/>
            <w:szCs w:val="20"/>
            <w:u w:val="none"/>
            <w:lang w:val="sv-SE"/>
          </w:rPr>
          <w:t>arifins20@gmail.com</w:t>
        </w:r>
      </w:hyperlink>
    </w:p>
    <w:p w:rsidR="00F33DDF" w:rsidRPr="002328A3" w:rsidRDefault="00F33DDF" w:rsidP="00BF28C3">
      <w:pPr>
        <w:rPr>
          <w:b/>
          <w:bCs/>
          <w:lang w:val="sv-SE"/>
        </w:rPr>
      </w:pPr>
    </w:p>
    <w:p w:rsidR="00374374" w:rsidRDefault="00374374" w:rsidP="00374374">
      <w:pPr>
        <w:jc w:val="center"/>
        <w:rPr>
          <w:b/>
          <w:lang w:val="en-US"/>
        </w:rPr>
      </w:pPr>
      <w:r w:rsidRPr="0054479D">
        <w:rPr>
          <w:b/>
        </w:rPr>
        <w:t>Abstrak</w:t>
      </w:r>
    </w:p>
    <w:p w:rsidR="00374374" w:rsidRDefault="00374374" w:rsidP="00374374">
      <w:pPr>
        <w:jc w:val="both"/>
        <w:rPr>
          <w:b/>
          <w:lang w:val="en-US"/>
        </w:rPr>
      </w:pPr>
    </w:p>
    <w:p w:rsidR="00374374" w:rsidRDefault="00374374" w:rsidP="00374374">
      <w:pPr>
        <w:jc w:val="both"/>
        <w:rPr>
          <w:i/>
          <w:lang w:val="en-US"/>
        </w:rPr>
      </w:pPr>
      <w:r w:rsidRPr="002D5A30">
        <w:rPr>
          <w:i/>
        </w:rPr>
        <w:t xml:space="preserve">PT. IGASAR merupakan </w:t>
      </w:r>
      <w:r w:rsidRPr="002D5A30">
        <w:rPr>
          <w:i/>
          <w:lang w:val="en-US"/>
        </w:rPr>
        <w:t xml:space="preserve">salah satu </w:t>
      </w:r>
      <w:r w:rsidRPr="002D5A30">
        <w:rPr>
          <w:i/>
        </w:rPr>
        <w:t xml:space="preserve">perusahaan yang </w:t>
      </w:r>
      <w:r w:rsidRPr="002D5A30">
        <w:rPr>
          <w:i/>
          <w:lang w:val="en-US"/>
        </w:rPr>
        <w:t>b</w:t>
      </w:r>
      <w:r w:rsidRPr="002D5A30">
        <w:rPr>
          <w:i/>
        </w:rPr>
        <w:t>erafiliasi dengan PT. Semen Padang  dimana selama ini sistem evaluasi supplier masih menggunakan penilaian berdasarkan sub</w:t>
      </w:r>
      <w:r w:rsidRPr="002D5A30">
        <w:rPr>
          <w:i/>
          <w:lang w:val="en-US"/>
        </w:rPr>
        <w:t>j</w:t>
      </w:r>
      <w:r w:rsidRPr="002D5A30">
        <w:rPr>
          <w:i/>
        </w:rPr>
        <w:t xml:space="preserve">ektifitas. Evaluasi </w:t>
      </w:r>
      <w:r w:rsidRPr="002D5A30">
        <w:rPr>
          <w:i/>
          <w:iCs/>
        </w:rPr>
        <w:t xml:space="preserve">supplier </w:t>
      </w:r>
      <w:r w:rsidRPr="002D5A30">
        <w:rPr>
          <w:i/>
        </w:rPr>
        <w:t xml:space="preserve">menjadi salah satu faktor penting dalam </w:t>
      </w:r>
      <w:r w:rsidRPr="002D5A30">
        <w:rPr>
          <w:i/>
          <w:iCs/>
        </w:rPr>
        <w:t>supply chain</w:t>
      </w:r>
      <w:r w:rsidRPr="002D5A30">
        <w:rPr>
          <w:i/>
          <w:iCs/>
          <w:lang w:val="en-US"/>
        </w:rPr>
        <w:t>. T</w:t>
      </w:r>
      <w:r w:rsidRPr="002D5A30">
        <w:rPr>
          <w:i/>
          <w:lang w:val="sv-SE"/>
        </w:rPr>
        <w:t xml:space="preserve">ujuan penelitian ini adalah </w:t>
      </w:r>
      <w:r w:rsidRPr="002D5A30">
        <w:rPr>
          <w:i/>
        </w:rPr>
        <w:t xml:space="preserve">merancang Vendor Performance </w:t>
      </w:r>
      <w:r w:rsidRPr="002D5A30">
        <w:rPr>
          <w:i/>
          <w:lang w:val="en-US"/>
        </w:rPr>
        <w:t>I</w:t>
      </w:r>
      <w:r w:rsidRPr="002D5A30">
        <w:rPr>
          <w:i/>
        </w:rPr>
        <w:t xml:space="preserve">ndicator (VPI) yang dibutuhkan oleh perusahaan, mengukur dan mengevaluasi performansi supplier supplier dengan Analytical Hierarchy Process (AHP). Hasil penelitian diperoleh </w:t>
      </w:r>
      <w:r w:rsidRPr="002D5A30">
        <w:rPr>
          <w:i/>
          <w:lang w:val="en-US"/>
        </w:rPr>
        <w:t>sebuah rancangan</w:t>
      </w:r>
      <w:r w:rsidRPr="002D5A30">
        <w:rPr>
          <w:i/>
        </w:rPr>
        <w:t xml:space="preserve"> sistem evaluasi supplier </w:t>
      </w:r>
      <w:r w:rsidRPr="002D5A30">
        <w:rPr>
          <w:i/>
          <w:lang w:val="en-US"/>
        </w:rPr>
        <w:t>yang meliputi</w:t>
      </w:r>
      <w:r w:rsidRPr="002D5A30">
        <w:rPr>
          <w:i/>
        </w:rPr>
        <w:t xml:space="preserve"> 12 IKP sebagai indikator kinerja supplier batu mangga yaitu : </w:t>
      </w:r>
      <w:r w:rsidRPr="002D5A30">
        <w:rPr>
          <w:i/>
          <w:lang w:val="en-US"/>
        </w:rPr>
        <w:t>Q</w:t>
      </w:r>
      <w:r w:rsidRPr="002D5A30">
        <w:rPr>
          <w:i/>
        </w:rPr>
        <w:t xml:space="preserve">uality meliputi ketepatan jenis bahan yang dikirimkan, dan ketepatan ukuran, </w:t>
      </w:r>
      <w:r w:rsidRPr="002D5A30">
        <w:rPr>
          <w:i/>
          <w:lang w:val="en-US"/>
        </w:rPr>
        <w:t>C</w:t>
      </w:r>
      <w:r w:rsidRPr="002D5A30">
        <w:rPr>
          <w:i/>
        </w:rPr>
        <w:t xml:space="preserve">ost meliputi harga barang, dan besaran potongan harga, </w:t>
      </w:r>
      <w:r w:rsidRPr="002D5A30">
        <w:rPr>
          <w:i/>
          <w:lang w:val="en-US"/>
        </w:rPr>
        <w:t>D</w:t>
      </w:r>
      <w:r w:rsidRPr="002D5A30">
        <w:rPr>
          <w:i/>
        </w:rPr>
        <w:t xml:space="preserve">elivery meliputi ketepatan kuantitas barang yang dikirimkan, dan waktu pengiriman, </w:t>
      </w:r>
      <w:r w:rsidRPr="002D5A30">
        <w:rPr>
          <w:i/>
          <w:lang w:val="en-US"/>
        </w:rPr>
        <w:t>F</w:t>
      </w:r>
      <w:r w:rsidRPr="002D5A30">
        <w:rPr>
          <w:i/>
        </w:rPr>
        <w:t xml:space="preserve">lexibility meliputi dipenuhinya perubahan jumlah material yang dipesan, dipenuhinya perubahan waktu pengiriman, dan dipenuhinya penggantian material yang tidak sesuai, </w:t>
      </w:r>
      <w:r w:rsidRPr="002D5A30">
        <w:rPr>
          <w:i/>
          <w:lang w:val="en-US"/>
        </w:rPr>
        <w:t>dan R</w:t>
      </w:r>
      <w:r w:rsidRPr="002D5A30">
        <w:rPr>
          <w:i/>
        </w:rPr>
        <w:t xml:space="preserve">esponsiveness meliputi </w:t>
      </w:r>
      <w:r w:rsidRPr="002D5A30">
        <w:rPr>
          <w:i/>
          <w:lang w:val="en-US"/>
        </w:rPr>
        <w:t>respon supplier terhadap</w:t>
      </w:r>
      <w:r w:rsidRPr="002D5A30">
        <w:rPr>
          <w:i/>
        </w:rPr>
        <w:t xml:space="preserve"> masalah atau keluhan, </w:t>
      </w:r>
      <w:r w:rsidRPr="002D5A30">
        <w:rPr>
          <w:i/>
          <w:lang w:val="en-US"/>
        </w:rPr>
        <w:t xml:space="preserve">respon </w:t>
      </w:r>
      <w:r w:rsidRPr="002D5A30">
        <w:rPr>
          <w:i/>
        </w:rPr>
        <w:t xml:space="preserve">supplier </w:t>
      </w:r>
      <w:r w:rsidRPr="002D5A30">
        <w:rPr>
          <w:i/>
          <w:lang w:val="en-US"/>
        </w:rPr>
        <w:t xml:space="preserve">terhadap </w:t>
      </w:r>
      <w:r w:rsidRPr="002D5A30">
        <w:rPr>
          <w:i/>
        </w:rPr>
        <w:t xml:space="preserve">perubahan </w:t>
      </w:r>
      <w:r w:rsidRPr="002D5A30">
        <w:rPr>
          <w:i/>
          <w:lang w:val="en-US"/>
        </w:rPr>
        <w:t xml:space="preserve">jumlah </w:t>
      </w:r>
      <w:r w:rsidRPr="002D5A30">
        <w:rPr>
          <w:i/>
        </w:rPr>
        <w:t xml:space="preserve">permintaan, </w:t>
      </w:r>
      <w:r w:rsidRPr="002D5A30">
        <w:rPr>
          <w:i/>
          <w:lang w:val="en-US"/>
        </w:rPr>
        <w:t xml:space="preserve">respon </w:t>
      </w:r>
      <w:r w:rsidRPr="002D5A30">
        <w:rPr>
          <w:i/>
        </w:rPr>
        <w:t xml:space="preserve">supplier </w:t>
      </w:r>
      <w:r w:rsidRPr="002D5A30">
        <w:rPr>
          <w:i/>
          <w:lang w:val="en-US"/>
        </w:rPr>
        <w:t>terhadap</w:t>
      </w:r>
      <w:r w:rsidRPr="002D5A30">
        <w:rPr>
          <w:i/>
        </w:rPr>
        <w:t xml:space="preserve"> perubahan jadwal pengiriman.  </w:t>
      </w:r>
      <w:r w:rsidRPr="002D5A30">
        <w:rPr>
          <w:i/>
          <w:lang w:val="en-US"/>
        </w:rPr>
        <w:t>Ketiga</w:t>
      </w:r>
      <w:r w:rsidRPr="002D5A30">
        <w:rPr>
          <w:i/>
        </w:rPr>
        <w:t xml:space="preserve"> supplier batu mangga memiliki skor </w:t>
      </w:r>
      <w:r w:rsidRPr="002D5A30">
        <w:rPr>
          <w:i/>
          <w:lang w:val="en-US"/>
        </w:rPr>
        <w:t xml:space="preserve">kinerja sebesar </w:t>
      </w:r>
      <w:r w:rsidRPr="002D5A30">
        <w:rPr>
          <w:i/>
        </w:rPr>
        <w:t>89 persen yang berada pada zona kuning</w:t>
      </w:r>
      <w:r w:rsidRPr="002D5A30">
        <w:rPr>
          <w:i/>
          <w:lang w:val="en-US"/>
        </w:rPr>
        <w:t xml:space="preserve"> </w:t>
      </w:r>
      <w:r w:rsidRPr="002D5A30">
        <w:rPr>
          <w:i/>
        </w:rPr>
        <w:t xml:space="preserve">dimana </w:t>
      </w:r>
      <w:r w:rsidRPr="002D5A30">
        <w:rPr>
          <w:i/>
          <w:lang w:val="en-US"/>
        </w:rPr>
        <w:t>perlu ditingkatkan</w:t>
      </w:r>
      <w:r w:rsidRPr="002D5A30">
        <w:rPr>
          <w:i/>
        </w:rPr>
        <w:t xml:space="preserve">. </w:t>
      </w:r>
    </w:p>
    <w:p w:rsidR="00374374" w:rsidRPr="002D5A30" w:rsidRDefault="00374374" w:rsidP="00374374">
      <w:pPr>
        <w:jc w:val="both"/>
        <w:rPr>
          <w:i/>
          <w:lang w:val="en-US"/>
        </w:rPr>
      </w:pPr>
    </w:p>
    <w:p w:rsidR="00374374" w:rsidRDefault="00374374" w:rsidP="00374374">
      <w:pPr>
        <w:jc w:val="both"/>
        <w:rPr>
          <w:i/>
          <w:lang w:val="en-US"/>
        </w:rPr>
      </w:pPr>
      <w:r w:rsidRPr="005A108B">
        <w:rPr>
          <w:b/>
          <w:i/>
        </w:rPr>
        <w:t>K</w:t>
      </w:r>
      <w:r w:rsidRPr="005A108B">
        <w:rPr>
          <w:b/>
          <w:i/>
          <w:lang w:val="sv-SE"/>
        </w:rPr>
        <w:t>ata kunci</w:t>
      </w:r>
      <w:r w:rsidRPr="002D5A30">
        <w:rPr>
          <w:i/>
          <w:lang w:val="sv-SE"/>
        </w:rPr>
        <w:t xml:space="preserve"> :</w:t>
      </w:r>
      <w:r w:rsidRPr="002D5A30">
        <w:rPr>
          <w:i/>
          <w:color w:val="FF0000"/>
          <w:lang w:val="sv-SE"/>
        </w:rPr>
        <w:t xml:space="preserve"> </w:t>
      </w:r>
      <w:r w:rsidRPr="002D5A30">
        <w:rPr>
          <w:i/>
          <w:lang w:val="en-US"/>
        </w:rPr>
        <w:t>e</w:t>
      </w:r>
      <w:r w:rsidRPr="002D5A30">
        <w:rPr>
          <w:i/>
        </w:rPr>
        <w:t>valuasi</w:t>
      </w:r>
      <w:r w:rsidRPr="002D5A30">
        <w:rPr>
          <w:i/>
          <w:lang w:val="en-US"/>
        </w:rPr>
        <w:t>,</w:t>
      </w:r>
      <w:r w:rsidRPr="002D5A30">
        <w:rPr>
          <w:i/>
        </w:rPr>
        <w:t xml:space="preserve"> kinerja supplier, VPI, AHP</w:t>
      </w:r>
    </w:p>
    <w:p w:rsidR="00CD592D" w:rsidRPr="00CD592D" w:rsidRDefault="00CD592D" w:rsidP="00374374">
      <w:pPr>
        <w:jc w:val="both"/>
        <w:rPr>
          <w:i/>
          <w:lang w:val="en-US"/>
        </w:rPr>
      </w:pPr>
    </w:p>
    <w:p w:rsidR="002D5A30" w:rsidRDefault="002D5A30" w:rsidP="002D5A30">
      <w:pPr>
        <w:jc w:val="center"/>
        <w:rPr>
          <w:b/>
          <w:lang w:val="en-US"/>
        </w:rPr>
      </w:pPr>
    </w:p>
    <w:p w:rsidR="00CD592D" w:rsidRPr="00206460" w:rsidRDefault="00CD592D" w:rsidP="00CD592D">
      <w:pPr>
        <w:jc w:val="center"/>
        <w:rPr>
          <w:b/>
          <w:sz w:val="28"/>
        </w:rPr>
      </w:pPr>
      <w:r w:rsidRPr="00206460">
        <w:rPr>
          <w:b/>
          <w:sz w:val="28"/>
        </w:rPr>
        <w:t xml:space="preserve">PERFORMANCE ANALYSIS OF RAW MATERIALS SUPPLIER </w:t>
      </w:r>
    </w:p>
    <w:p w:rsidR="00CD592D" w:rsidRPr="00206460" w:rsidRDefault="00CD592D" w:rsidP="00CD592D">
      <w:pPr>
        <w:jc w:val="center"/>
        <w:rPr>
          <w:b/>
          <w:sz w:val="28"/>
        </w:rPr>
      </w:pPr>
      <w:r w:rsidRPr="00206460">
        <w:rPr>
          <w:b/>
          <w:sz w:val="28"/>
        </w:rPr>
        <w:t>IN PT IGASAR BY USING VENDOR PERFORMA</w:t>
      </w:r>
      <w:r w:rsidRPr="00206460">
        <w:rPr>
          <w:b/>
          <w:sz w:val="28"/>
          <w:lang w:val="en-US"/>
        </w:rPr>
        <w:t>N</w:t>
      </w:r>
      <w:r w:rsidRPr="00206460">
        <w:rPr>
          <w:b/>
          <w:sz w:val="28"/>
        </w:rPr>
        <w:t>CE INDICATOR</w:t>
      </w:r>
      <w:r w:rsidRPr="00206460">
        <w:rPr>
          <w:b/>
          <w:sz w:val="28"/>
          <w:lang w:val="en-US"/>
        </w:rPr>
        <w:t xml:space="preserve"> METHOD AND</w:t>
      </w:r>
      <w:r w:rsidRPr="00206460">
        <w:rPr>
          <w:b/>
          <w:sz w:val="28"/>
        </w:rPr>
        <w:t xml:space="preserve"> ANALYTICAL HIERARCHY PROCESS</w:t>
      </w:r>
    </w:p>
    <w:p w:rsidR="00CD592D" w:rsidRPr="00206460" w:rsidRDefault="00CD592D" w:rsidP="00CD592D">
      <w:pPr>
        <w:jc w:val="center"/>
        <w:rPr>
          <w:b/>
          <w:sz w:val="28"/>
          <w:lang w:val="en-US"/>
        </w:rPr>
      </w:pPr>
      <w:r w:rsidRPr="00206460">
        <w:rPr>
          <w:b/>
          <w:sz w:val="28"/>
        </w:rPr>
        <w:t>(A Case Study in PT IGASAR)</w:t>
      </w:r>
    </w:p>
    <w:p w:rsidR="002D5A30" w:rsidRDefault="002D5A30" w:rsidP="002D5A30">
      <w:pPr>
        <w:jc w:val="center"/>
        <w:rPr>
          <w:b/>
          <w:lang w:val="en-US"/>
        </w:rPr>
      </w:pPr>
    </w:p>
    <w:p w:rsidR="00374374" w:rsidRDefault="00374374" w:rsidP="00374374">
      <w:pPr>
        <w:jc w:val="center"/>
        <w:rPr>
          <w:b/>
          <w:lang w:val="en-US"/>
        </w:rPr>
      </w:pPr>
      <w:r>
        <w:rPr>
          <w:b/>
        </w:rPr>
        <w:t>Abstract</w:t>
      </w:r>
    </w:p>
    <w:p w:rsidR="00374374" w:rsidRPr="002D5A30" w:rsidRDefault="00374374" w:rsidP="00374374">
      <w:pPr>
        <w:jc w:val="center"/>
        <w:rPr>
          <w:b/>
          <w:lang w:val="en-US"/>
        </w:rPr>
      </w:pPr>
    </w:p>
    <w:p w:rsidR="00374374" w:rsidRPr="002D5A30" w:rsidRDefault="00374374" w:rsidP="00374374">
      <w:pPr>
        <w:jc w:val="both"/>
        <w:rPr>
          <w:i/>
          <w:lang w:val="en-US"/>
        </w:rPr>
      </w:pPr>
      <w:r w:rsidRPr="002D5A30">
        <w:rPr>
          <w:i/>
        </w:rPr>
        <w:t xml:space="preserve">PT. </w:t>
      </w:r>
      <w:r w:rsidRPr="002D5A30">
        <w:rPr>
          <w:rStyle w:val="spellver"/>
          <w:i/>
        </w:rPr>
        <w:t>Igasar</w:t>
      </w:r>
      <w:r w:rsidRPr="002D5A30">
        <w:rPr>
          <w:i/>
        </w:rPr>
        <w:t xml:space="preserve"> is one of the companies affiliated with PT. Semen Padang where during the suppliers evaluation is still using a rating based on subjectivity. Evaluation of suppliers become one of the important factors in the supply chain</w:t>
      </w:r>
      <w:r w:rsidRPr="002D5A30">
        <w:rPr>
          <w:i/>
          <w:lang w:val="en-US"/>
        </w:rPr>
        <w:t>. This study aims</w:t>
      </w:r>
      <w:r w:rsidRPr="002D5A30">
        <w:rPr>
          <w:i/>
        </w:rPr>
        <w:t xml:space="preserve"> to design Vendor Performance Indicator (</w:t>
      </w:r>
      <w:r w:rsidRPr="002D5A30">
        <w:rPr>
          <w:rStyle w:val="spellver"/>
          <w:i/>
        </w:rPr>
        <w:t>VPI)</w:t>
      </w:r>
      <w:r w:rsidRPr="002D5A30">
        <w:rPr>
          <w:i/>
        </w:rPr>
        <w:t xml:space="preserve"> </w:t>
      </w:r>
      <w:r w:rsidRPr="002D5A30">
        <w:rPr>
          <w:i/>
          <w:lang w:val="en-US"/>
        </w:rPr>
        <w:t xml:space="preserve">that </w:t>
      </w:r>
      <w:r w:rsidRPr="002D5A30">
        <w:rPr>
          <w:i/>
        </w:rPr>
        <w:t xml:space="preserve">required by the company, to measure </w:t>
      </w:r>
      <w:r w:rsidRPr="002D5A30">
        <w:rPr>
          <w:i/>
          <w:lang w:val="en-US"/>
        </w:rPr>
        <w:t xml:space="preserve">and to evaluate </w:t>
      </w:r>
      <w:r w:rsidRPr="002D5A30">
        <w:rPr>
          <w:i/>
        </w:rPr>
        <w:t>suppliers</w:t>
      </w:r>
      <w:r w:rsidRPr="002D5A30">
        <w:rPr>
          <w:i/>
          <w:lang w:val="en-US"/>
        </w:rPr>
        <w:t xml:space="preserve"> </w:t>
      </w:r>
      <w:r w:rsidRPr="002D5A30">
        <w:rPr>
          <w:i/>
        </w:rPr>
        <w:t xml:space="preserve">performance </w:t>
      </w:r>
      <w:r w:rsidRPr="002D5A30">
        <w:rPr>
          <w:i/>
          <w:lang w:val="en-US"/>
        </w:rPr>
        <w:t>by using</w:t>
      </w:r>
      <w:r w:rsidRPr="002D5A30">
        <w:rPr>
          <w:i/>
        </w:rPr>
        <w:t xml:space="preserve"> </w:t>
      </w:r>
      <w:r w:rsidRPr="002D5A30">
        <w:rPr>
          <w:rStyle w:val="spellver"/>
          <w:i/>
        </w:rPr>
        <w:t>Analytical</w:t>
      </w:r>
      <w:r w:rsidRPr="002D5A30">
        <w:rPr>
          <w:i/>
        </w:rPr>
        <w:t xml:space="preserve"> Hierarchy Process (</w:t>
      </w:r>
      <w:r w:rsidRPr="002D5A30">
        <w:rPr>
          <w:rStyle w:val="spellver"/>
          <w:i/>
        </w:rPr>
        <w:t>AHP)</w:t>
      </w:r>
      <w:r w:rsidRPr="002D5A30">
        <w:rPr>
          <w:i/>
        </w:rPr>
        <w:t xml:space="preserve">. The results were obtained </w:t>
      </w:r>
      <w:r w:rsidRPr="002D5A30">
        <w:rPr>
          <w:i/>
          <w:lang w:val="en-US"/>
        </w:rPr>
        <w:t>a</w:t>
      </w:r>
      <w:r w:rsidRPr="002D5A30">
        <w:rPr>
          <w:i/>
        </w:rPr>
        <w:t xml:space="preserve"> supplier evaluation system design </w:t>
      </w:r>
      <w:r w:rsidRPr="002D5A30">
        <w:rPr>
          <w:i/>
          <w:lang w:val="en-US"/>
        </w:rPr>
        <w:t>that covers</w:t>
      </w:r>
      <w:r w:rsidRPr="002D5A30">
        <w:rPr>
          <w:i/>
        </w:rPr>
        <w:t xml:space="preserve"> 12 </w:t>
      </w:r>
      <w:r w:rsidRPr="002D5A30">
        <w:rPr>
          <w:rStyle w:val="spellver"/>
          <w:i/>
        </w:rPr>
        <w:t>VPI</w:t>
      </w:r>
      <w:r w:rsidRPr="002D5A30">
        <w:rPr>
          <w:i/>
        </w:rPr>
        <w:t xml:space="preserve"> as performance indicator</w:t>
      </w:r>
      <w:r w:rsidRPr="002D5A30">
        <w:rPr>
          <w:i/>
          <w:lang w:val="en-US"/>
        </w:rPr>
        <w:t>s</w:t>
      </w:r>
      <w:r w:rsidRPr="002D5A30">
        <w:rPr>
          <w:i/>
        </w:rPr>
        <w:t xml:space="preserve"> </w:t>
      </w:r>
      <w:r w:rsidRPr="002D5A30">
        <w:rPr>
          <w:i/>
        </w:rPr>
        <w:lastRenderedPageBreak/>
        <w:t>of stone mango supplier</w:t>
      </w:r>
      <w:r w:rsidRPr="002D5A30">
        <w:rPr>
          <w:i/>
          <w:lang w:val="en-US"/>
        </w:rPr>
        <w:t xml:space="preserve">s </w:t>
      </w:r>
      <w:r w:rsidRPr="002D5A30">
        <w:rPr>
          <w:i/>
        </w:rPr>
        <w:t>namely</w:t>
      </w:r>
      <w:r w:rsidRPr="002D5A30">
        <w:rPr>
          <w:i/>
          <w:lang w:val="en-US"/>
        </w:rPr>
        <w:t xml:space="preserve"> </w:t>
      </w:r>
      <w:r w:rsidRPr="002D5A30">
        <w:rPr>
          <w:i/>
        </w:rPr>
        <w:t xml:space="preserve">: </w:t>
      </w:r>
      <w:r w:rsidRPr="002D5A30">
        <w:rPr>
          <w:i/>
          <w:lang w:val="en-US"/>
        </w:rPr>
        <w:t>Q</w:t>
      </w:r>
      <w:r w:rsidRPr="002D5A30">
        <w:rPr>
          <w:i/>
        </w:rPr>
        <w:t xml:space="preserve">uality include the accuracy of the type of material sent, and the accuracy of the size, </w:t>
      </w:r>
      <w:r w:rsidRPr="002D5A30">
        <w:rPr>
          <w:i/>
          <w:lang w:val="en-US"/>
        </w:rPr>
        <w:t>C</w:t>
      </w:r>
      <w:r w:rsidRPr="002D5A30">
        <w:rPr>
          <w:i/>
        </w:rPr>
        <w:t xml:space="preserve">ost includes the price of goods, and the amount </w:t>
      </w:r>
      <w:r w:rsidRPr="002D5A30">
        <w:rPr>
          <w:i/>
          <w:lang w:val="en-US"/>
        </w:rPr>
        <w:t xml:space="preserve">of </w:t>
      </w:r>
      <w:r w:rsidRPr="002D5A30">
        <w:rPr>
          <w:i/>
        </w:rPr>
        <w:t xml:space="preserve">discounts, </w:t>
      </w:r>
      <w:r w:rsidRPr="002D5A30">
        <w:rPr>
          <w:i/>
          <w:lang w:val="en-US"/>
        </w:rPr>
        <w:t>D</w:t>
      </w:r>
      <w:r w:rsidRPr="002D5A30">
        <w:rPr>
          <w:i/>
        </w:rPr>
        <w:t xml:space="preserve">elivery includes the accuracy of the quantity of goods delivered, and timeliness delivery, </w:t>
      </w:r>
      <w:r w:rsidRPr="002D5A30">
        <w:rPr>
          <w:i/>
          <w:lang w:val="en-US"/>
        </w:rPr>
        <w:t>F</w:t>
      </w:r>
      <w:r w:rsidRPr="002D5A30">
        <w:rPr>
          <w:i/>
        </w:rPr>
        <w:t xml:space="preserve">lexibility </w:t>
      </w:r>
      <w:r w:rsidRPr="002D5A30">
        <w:rPr>
          <w:i/>
          <w:lang w:val="en-US"/>
        </w:rPr>
        <w:t>includes</w:t>
      </w:r>
      <w:r w:rsidRPr="002D5A30">
        <w:rPr>
          <w:i/>
        </w:rPr>
        <w:t xml:space="preserve"> the fulfillment of material changes in the number ordered, the fulfillment of delivery time change, and the fulfillment of the replacement material that is not appropriate, </w:t>
      </w:r>
      <w:r w:rsidRPr="002D5A30">
        <w:rPr>
          <w:i/>
          <w:lang w:val="en-US"/>
        </w:rPr>
        <w:t>R</w:t>
      </w:r>
      <w:r w:rsidRPr="002D5A30">
        <w:rPr>
          <w:i/>
        </w:rPr>
        <w:t xml:space="preserve">esponsiveness includes suppliers respond to problems or complaints, supplier responds to changes in the number of requests, the supplier responds to changes in delivery schedules. </w:t>
      </w:r>
      <w:r w:rsidRPr="002D5A30">
        <w:rPr>
          <w:i/>
          <w:lang w:val="en-US"/>
        </w:rPr>
        <w:t>The t</w:t>
      </w:r>
      <w:r w:rsidRPr="002D5A30">
        <w:rPr>
          <w:i/>
        </w:rPr>
        <w:t xml:space="preserve">hree mango stone suppliers </w:t>
      </w:r>
      <w:r w:rsidRPr="002D5A30">
        <w:rPr>
          <w:i/>
          <w:lang w:val="en-US"/>
        </w:rPr>
        <w:t>have</w:t>
      </w:r>
      <w:r w:rsidRPr="002D5A30">
        <w:rPr>
          <w:i/>
        </w:rPr>
        <w:t xml:space="preserve"> </w:t>
      </w:r>
      <w:r w:rsidRPr="002D5A30">
        <w:rPr>
          <w:i/>
          <w:lang w:val="en-US"/>
        </w:rPr>
        <w:t xml:space="preserve">performance </w:t>
      </w:r>
      <w:r w:rsidRPr="002D5A30">
        <w:rPr>
          <w:i/>
        </w:rPr>
        <w:t>score of 89 percent,</w:t>
      </w:r>
      <w:r w:rsidRPr="002D5A30">
        <w:rPr>
          <w:i/>
          <w:lang w:val="en-US"/>
        </w:rPr>
        <w:t xml:space="preserve"> </w:t>
      </w:r>
      <w:r w:rsidRPr="002D5A30">
        <w:rPr>
          <w:i/>
        </w:rPr>
        <w:t xml:space="preserve">which </w:t>
      </w:r>
      <w:r w:rsidRPr="002D5A30">
        <w:rPr>
          <w:i/>
          <w:lang w:val="en-US"/>
        </w:rPr>
        <w:t xml:space="preserve">are </w:t>
      </w:r>
      <w:r w:rsidRPr="002D5A30">
        <w:rPr>
          <w:i/>
        </w:rPr>
        <w:t>in the yellow zone</w:t>
      </w:r>
      <w:r w:rsidRPr="002D5A30">
        <w:rPr>
          <w:i/>
          <w:lang w:val="en-US"/>
        </w:rPr>
        <w:t xml:space="preserve"> and it means the performance</w:t>
      </w:r>
      <w:r w:rsidRPr="002D5A30">
        <w:rPr>
          <w:i/>
        </w:rPr>
        <w:t xml:space="preserve"> need to be </w:t>
      </w:r>
      <w:r w:rsidRPr="002D5A30">
        <w:rPr>
          <w:i/>
          <w:lang w:val="en-US"/>
        </w:rPr>
        <w:t>improved.</w:t>
      </w:r>
    </w:p>
    <w:p w:rsidR="00374374" w:rsidRDefault="00374374" w:rsidP="00374374">
      <w:pPr>
        <w:jc w:val="both"/>
        <w:rPr>
          <w:lang w:val="en-US"/>
        </w:rPr>
      </w:pPr>
    </w:p>
    <w:p w:rsidR="00374374" w:rsidRPr="002D5A30" w:rsidRDefault="00374374" w:rsidP="00374374">
      <w:pPr>
        <w:jc w:val="both"/>
        <w:rPr>
          <w:i/>
        </w:rPr>
      </w:pPr>
      <w:r w:rsidRPr="005A108B">
        <w:rPr>
          <w:b/>
          <w:i/>
        </w:rPr>
        <w:t>Keywords</w:t>
      </w:r>
      <w:r w:rsidRPr="002D5A30">
        <w:rPr>
          <w:i/>
        </w:rPr>
        <w:t>: evaluation, supplier performance, VPI, AHP</w:t>
      </w:r>
    </w:p>
    <w:p w:rsidR="002D5A30" w:rsidRDefault="002D5A30" w:rsidP="002D5A30">
      <w:pPr>
        <w:jc w:val="center"/>
        <w:rPr>
          <w:b/>
          <w:lang w:val="en-US"/>
        </w:rPr>
      </w:pPr>
    </w:p>
    <w:p w:rsidR="0028345D" w:rsidRDefault="0028345D" w:rsidP="0028345D">
      <w:pPr>
        <w:pStyle w:val="NormalWeb"/>
        <w:rPr>
          <w:b/>
          <w:lang w:val="sv-SE"/>
        </w:rPr>
      </w:pPr>
      <w:r>
        <w:rPr>
          <w:lang w:val="en-US"/>
        </w:rPr>
        <mc:AlternateContent>
          <mc:Choice Requires="wps">
            <w:drawing>
              <wp:anchor distT="4294967295" distB="4294967295" distL="114300" distR="114300" simplePos="0" relativeHeight="251661312" behindDoc="0" locked="0" layoutInCell="1" allowOverlap="1" wp14:anchorId="6A2E4A58" wp14:editId="0CE708E2">
                <wp:simplePos x="0" y="0"/>
                <wp:positionH relativeFrom="column">
                  <wp:posOffset>2205355</wp:posOffset>
                </wp:positionH>
                <wp:positionV relativeFrom="paragraph">
                  <wp:posOffset>127635</wp:posOffset>
                </wp:positionV>
                <wp:extent cx="1600200" cy="0"/>
                <wp:effectExtent l="0" t="0" r="19050" b="19050"/>
                <wp:wrapNone/>
                <wp:docPr id="3"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73.65pt;margin-top:10.05pt;width:12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KyJQ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"/>
            </w:pict>
          </mc:Fallback>
        </mc:AlternateContent>
      </w:r>
    </w:p>
    <w:p w:rsidR="00821AF4" w:rsidRDefault="00821AF4" w:rsidP="0028345D">
      <w:pPr>
        <w:pStyle w:val="NormalWeb"/>
        <w:spacing w:before="0" w:beforeAutospacing="0" w:after="0" w:afterAutospacing="0"/>
        <w:jc w:val="both"/>
        <w:rPr>
          <w:b/>
          <w:lang w:val="sv-SE"/>
        </w:rPr>
        <w:sectPr w:rsidR="00821AF4" w:rsidSect="00AC0A17">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418" w:left="1701" w:header="680" w:footer="567" w:gutter="0"/>
          <w:pgNumType w:start="15"/>
          <w:cols w:space="720"/>
          <w:titlePg/>
          <w:docGrid w:linePitch="360"/>
        </w:sectPr>
      </w:pPr>
    </w:p>
    <w:p w:rsidR="0028345D" w:rsidRDefault="0028345D" w:rsidP="0028345D">
      <w:pPr>
        <w:pStyle w:val="NormalWeb"/>
        <w:spacing w:before="0" w:beforeAutospacing="0" w:after="0" w:afterAutospacing="0"/>
        <w:jc w:val="both"/>
        <w:rPr>
          <w:b/>
          <w:lang w:val="sv-SE"/>
        </w:rPr>
      </w:pPr>
      <w:r>
        <w:rPr>
          <w:b/>
          <w:lang w:val="sv-SE"/>
        </w:rPr>
        <w:lastRenderedPageBreak/>
        <w:t>PENDAHULUAN</w:t>
      </w:r>
    </w:p>
    <w:p w:rsidR="0028345D" w:rsidRDefault="0028345D" w:rsidP="0028345D">
      <w:pPr>
        <w:pStyle w:val="NormalWeb"/>
        <w:spacing w:before="0" w:beforeAutospacing="0" w:after="0" w:afterAutospacing="0"/>
        <w:jc w:val="both"/>
        <w:rPr>
          <w:b/>
          <w:lang w:val="sv-SE"/>
        </w:rPr>
      </w:pPr>
    </w:p>
    <w:p w:rsidR="0028345D" w:rsidRPr="0012232A" w:rsidRDefault="0028345D" w:rsidP="0028345D">
      <w:pPr>
        <w:pStyle w:val="NormalWeb"/>
        <w:spacing w:before="0" w:beforeAutospacing="0" w:after="0" w:afterAutospacing="0"/>
        <w:ind w:firstLine="720"/>
        <w:jc w:val="both"/>
        <w:rPr>
          <w:b/>
          <w:lang w:val="sv-SE"/>
        </w:rPr>
      </w:pPr>
      <w:r w:rsidRPr="00534BF6">
        <w:t xml:space="preserve">Evaluasi </w:t>
      </w:r>
      <w:r w:rsidRPr="0012232A">
        <w:rPr>
          <w:i/>
          <w:iCs/>
        </w:rPr>
        <w:t>supplier</w:t>
      </w:r>
      <w:r w:rsidRPr="00534BF6">
        <w:rPr>
          <w:iCs/>
        </w:rPr>
        <w:t xml:space="preserve"> </w:t>
      </w:r>
      <w:r w:rsidRPr="00534BF6">
        <w:t xml:space="preserve">menjadi salah satu faktor penting dalam </w:t>
      </w:r>
      <w:r w:rsidRPr="0012232A">
        <w:rPr>
          <w:i/>
          <w:iCs/>
        </w:rPr>
        <w:t>supply chain</w:t>
      </w:r>
      <w:r w:rsidRPr="00534BF6">
        <w:rPr>
          <w:iCs/>
        </w:rPr>
        <w:t xml:space="preserve">, </w:t>
      </w:r>
      <w:r w:rsidRPr="00534BF6">
        <w:t xml:space="preserve">karena merupakan salah satu strategi perusahaan untuk dapat bersaing dengan perusahaan lain dalam </w:t>
      </w:r>
      <w:r>
        <w:t>h</w:t>
      </w:r>
      <w:r w:rsidRPr="00534BF6">
        <w:t xml:space="preserve">al kepuasan konsumen dan juga untuk meningkatkan atau mempertahankan </w:t>
      </w:r>
      <w:r w:rsidRPr="0012232A">
        <w:rPr>
          <w:i/>
          <w:iCs/>
        </w:rPr>
        <w:t>service level</w:t>
      </w:r>
      <w:r w:rsidRPr="00534BF6">
        <w:rPr>
          <w:iCs/>
        </w:rPr>
        <w:t xml:space="preserve"> </w:t>
      </w:r>
      <w:r>
        <w:t>p</w:t>
      </w:r>
      <w:r w:rsidRPr="00534BF6">
        <w:t xml:space="preserve">erusahaan tersebut dalam memenuhi permintaan konsumen. Evaluasi </w:t>
      </w:r>
      <w:r w:rsidRPr="0012232A">
        <w:rPr>
          <w:i/>
          <w:iCs/>
        </w:rPr>
        <w:t>supplier</w:t>
      </w:r>
      <w:r w:rsidRPr="00534BF6">
        <w:rPr>
          <w:iCs/>
        </w:rPr>
        <w:t xml:space="preserve"> </w:t>
      </w:r>
      <w:r w:rsidRPr="00534BF6">
        <w:t xml:space="preserve">dilakukan Sesuai dengan karakteristik dari masing-masing </w:t>
      </w:r>
      <w:r w:rsidRPr="00534BF6">
        <w:rPr>
          <w:iCs/>
        </w:rPr>
        <w:t xml:space="preserve">item </w:t>
      </w:r>
      <w:r w:rsidRPr="00534BF6">
        <w:t xml:space="preserve">yang akan di </w:t>
      </w:r>
      <w:r w:rsidRPr="0012232A">
        <w:rPr>
          <w:i/>
          <w:iCs/>
        </w:rPr>
        <w:t>supply</w:t>
      </w:r>
      <w:r w:rsidRPr="00534BF6">
        <w:rPr>
          <w:iCs/>
        </w:rPr>
        <w:t xml:space="preserve">. </w:t>
      </w:r>
      <w:r w:rsidRPr="00534BF6">
        <w:t xml:space="preserve">Apabila </w:t>
      </w:r>
      <w:r w:rsidRPr="0012232A">
        <w:rPr>
          <w:i/>
          <w:iCs/>
        </w:rPr>
        <w:t>supplier</w:t>
      </w:r>
      <w:r w:rsidRPr="00534BF6">
        <w:rPr>
          <w:iCs/>
        </w:rPr>
        <w:t xml:space="preserve"> </w:t>
      </w:r>
      <w:r>
        <w:t>k</w:t>
      </w:r>
      <w:r w:rsidRPr="00534BF6">
        <w:t xml:space="preserve">urang responsif dalam memenuhi permintaan maka akibat yang ditimbulkan adalah terjadinya </w:t>
      </w:r>
      <w:r w:rsidRPr="0012232A">
        <w:rPr>
          <w:i/>
          <w:iCs/>
        </w:rPr>
        <w:t>stock out</w:t>
      </w:r>
      <w:r w:rsidRPr="00534BF6">
        <w:rPr>
          <w:iCs/>
        </w:rPr>
        <w:t xml:space="preserve"> </w:t>
      </w:r>
      <w:r w:rsidRPr="00534BF6">
        <w:t xml:space="preserve">dan juga apabila </w:t>
      </w:r>
      <w:r w:rsidRPr="0012232A">
        <w:rPr>
          <w:i/>
          <w:iCs/>
        </w:rPr>
        <w:t>lead time</w:t>
      </w:r>
      <w:r w:rsidRPr="00534BF6">
        <w:rPr>
          <w:iCs/>
        </w:rPr>
        <w:t xml:space="preserve"> </w:t>
      </w:r>
      <w:r w:rsidRPr="00534BF6">
        <w:t xml:space="preserve">dari </w:t>
      </w:r>
      <w:r w:rsidRPr="0012232A">
        <w:rPr>
          <w:i/>
          <w:iCs/>
        </w:rPr>
        <w:t>supplier</w:t>
      </w:r>
      <w:r w:rsidRPr="00534BF6">
        <w:rPr>
          <w:iCs/>
        </w:rPr>
        <w:t xml:space="preserve"> </w:t>
      </w:r>
      <w:r w:rsidRPr="00534BF6">
        <w:t xml:space="preserve">panjang maka akan timbul </w:t>
      </w:r>
      <w:r w:rsidRPr="0012232A">
        <w:rPr>
          <w:i/>
          <w:iCs/>
        </w:rPr>
        <w:t>inventory cost</w:t>
      </w:r>
      <w:r w:rsidRPr="00534BF6">
        <w:rPr>
          <w:iCs/>
        </w:rPr>
        <w:t xml:space="preserve"> </w:t>
      </w:r>
      <w:r w:rsidRPr="00534BF6">
        <w:t>yang cukup tinggi karena komponen material yang mahal.</w:t>
      </w:r>
    </w:p>
    <w:p w:rsidR="0028345D" w:rsidRPr="00534BF6" w:rsidRDefault="0028345D" w:rsidP="0028345D">
      <w:pPr>
        <w:jc w:val="both"/>
      </w:pPr>
      <w:r>
        <w:t xml:space="preserve">     </w:t>
      </w:r>
      <w:r w:rsidRPr="00534BF6">
        <w:t xml:space="preserve">Menurut Saunders (1997), dalam melakukan evaluasi </w:t>
      </w:r>
      <w:r w:rsidRPr="0012232A">
        <w:rPr>
          <w:i/>
          <w:iCs/>
        </w:rPr>
        <w:t>supplier</w:t>
      </w:r>
      <w:r w:rsidRPr="00534BF6">
        <w:rPr>
          <w:iCs/>
        </w:rPr>
        <w:t xml:space="preserve"> </w:t>
      </w:r>
      <w:r w:rsidRPr="00534BF6">
        <w:t xml:space="preserve">sebaiknya berdasarkan pada kemampuan </w:t>
      </w:r>
      <w:r w:rsidRPr="0012232A">
        <w:rPr>
          <w:i/>
        </w:rPr>
        <w:t xml:space="preserve">supplier </w:t>
      </w:r>
      <w:r w:rsidRPr="00534BF6">
        <w:t xml:space="preserve">untuk bekerjasama dengan pihak perusahaan, </w:t>
      </w:r>
      <w:r w:rsidRPr="0012232A">
        <w:rPr>
          <w:i/>
          <w:iCs/>
        </w:rPr>
        <w:t>long term relationship</w:t>
      </w:r>
      <w:r w:rsidRPr="00534BF6">
        <w:rPr>
          <w:iCs/>
        </w:rPr>
        <w:t xml:space="preserve"> </w:t>
      </w:r>
      <w:r w:rsidRPr="00534BF6">
        <w:t xml:space="preserve">sangat dibutuhkan untuk menumbuhkan rasa saling percaya dan dapat diandalkan, hal seperti ini tentunya akan menguntungkan kedua belah pihak. Dimana hal-hal yang perlu diperhatikan dalam melakukan pemilihan </w:t>
      </w:r>
      <w:r w:rsidRPr="0012232A">
        <w:rPr>
          <w:i/>
        </w:rPr>
        <w:t xml:space="preserve">supplier </w:t>
      </w:r>
      <w:r w:rsidRPr="00534BF6">
        <w:t xml:space="preserve">selain </w:t>
      </w:r>
      <w:r w:rsidRPr="0012232A">
        <w:rPr>
          <w:i/>
          <w:iCs/>
        </w:rPr>
        <w:t>cost</w:t>
      </w:r>
      <w:r w:rsidRPr="00534BF6">
        <w:t xml:space="preserve">, juga </w:t>
      </w:r>
      <w:r w:rsidRPr="00534BF6">
        <w:rPr>
          <w:iCs/>
        </w:rPr>
        <w:t xml:space="preserve">konsistensinya </w:t>
      </w:r>
      <w:r w:rsidRPr="00534BF6">
        <w:t>(</w:t>
      </w:r>
      <w:r w:rsidRPr="0012232A">
        <w:rPr>
          <w:i/>
          <w:iCs/>
        </w:rPr>
        <w:t xml:space="preserve">quality </w:t>
      </w:r>
      <w:r w:rsidRPr="0012232A">
        <w:rPr>
          <w:i/>
        </w:rPr>
        <w:t xml:space="preserve">dan </w:t>
      </w:r>
      <w:r w:rsidRPr="0012232A">
        <w:rPr>
          <w:i/>
          <w:iCs/>
        </w:rPr>
        <w:t>delivery</w:t>
      </w:r>
      <w:r w:rsidRPr="0012232A">
        <w:rPr>
          <w:i/>
        </w:rPr>
        <w:t xml:space="preserve">), </w:t>
      </w:r>
      <w:r w:rsidRPr="0012232A">
        <w:rPr>
          <w:i/>
          <w:iCs/>
        </w:rPr>
        <w:t>reliability</w:t>
      </w:r>
      <w:r w:rsidRPr="0012232A">
        <w:rPr>
          <w:i/>
        </w:rPr>
        <w:t xml:space="preserve">, </w:t>
      </w:r>
      <w:r w:rsidRPr="0012232A">
        <w:rPr>
          <w:i/>
          <w:iCs/>
        </w:rPr>
        <w:t>relationship, flexibility</w:t>
      </w:r>
      <w:r w:rsidRPr="00534BF6">
        <w:rPr>
          <w:iCs/>
        </w:rPr>
        <w:t xml:space="preserve"> </w:t>
      </w:r>
      <w:r w:rsidRPr="00534BF6">
        <w:t xml:space="preserve">dan juga </w:t>
      </w:r>
      <w:r w:rsidRPr="0012232A">
        <w:rPr>
          <w:i/>
          <w:iCs/>
        </w:rPr>
        <w:t>service level</w:t>
      </w:r>
      <w:r w:rsidRPr="00534BF6">
        <w:t>-nya.</w:t>
      </w:r>
    </w:p>
    <w:p w:rsidR="0028345D" w:rsidRDefault="0028345D" w:rsidP="0028345D">
      <w:pPr>
        <w:ind w:firstLine="720"/>
        <w:jc w:val="both"/>
      </w:pPr>
      <w:r w:rsidRPr="00534BF6">
        <w:lastRenderedPageBreak/>
        <w:t xml:space="preserve">PT. IGASAR merupakan salah satu perusahaan yang </w:t>
      </w:r>
      <w:r>
        <w:t>be</w:t>
      </w:r>
      <w:r w:rsidRPr="00534BF6">
        <w:t xml:space="preserve">rafiliasi dengan PT. Semen padang dengan kegiatan usaha </w:t>
      </w:r>
      <w:r>
        <w:t xml:space="preserve">bidang </w:t>
      </w:r>
      <w:r w:rsidRPr="0012232A">
        <w:rPr>
          <w:i/>
        </w:rPr>
        <w:t>engineering</w:t>
      </w:r>
      <w:r>
        <w:t>, distributor semen, transportasi, r</w:t>
      </w:r>
      <w:r w:rsidRPr="00534BF6">
        <w:t>ental alat</w:t>
      </w:r>
      <w:r>
        <w:t xml:space="preserve"> </w:t>
      </w:r>
      <w:r w:rsidRPr="00534BF6">
        <w:t xml:space="preserve">berat, Industri bahan bangunan berbasis semen ( </w:t>
      </w:r>
      <w:r w:rsidRPr="00C0264B">
        <w:rPr>
          <w:i/>
        </w:rPr>
        <w:t>ready mix</w:t>
      </w:r>
      <w:r w:rsidRPr="00534BF6">
        <w:t xml:space="preserve"> </w:t>
      </w:r>
      <w:r>
        <w:t>dan</w:t>
      </w:r>
      <w:r w:rsidRPr="00534BF6">
        <w:t xml:space="preserve"> </w:t>
      </w:r>
      <w:r>
        <w:t>b</w:t>
      </w:r>
      <w:r w:rsidRPr="00534BF6">
        <w:t>eton</w:t>
      </w:r>
      <w:r>
        <w:t xml:space="preserve"> cetak ), </w:t>
      </w:r>
      <w:r w:rsidRPr="00C0264B">
        <w:rPr>
          <w:i/>
        </w:rPr>
        <w:t>manufacturing</w:t>
      </w:r>
      <w:r>
        <w:t xml:space="preserve">, </w:t>
      </w:r>
      <w:r w:rsidRPr="00C0264B">
        <w:rPr>
          <w:i/>
        </w:rPr>
        <w:t>general contractor</w:t>
      </w:r>
      <w:r w:rsidRPr="00534BF6">
        <w:t xml:space="preserve"> </w:t>
      </w:r>
      <w:r>
        <w:t>dan</w:t>
      </w:r>
      <w:r w:rsidRPr="00534BF6">
        <w:t xml:space="preserve"> </w:t>
      </w:r>
      <w:r>
        <w:rPr>
          <w:i/>
        </w:rPr>
        <w:t>developer</w:t>
      </w:r>
      <w:r w:rsidRPr="00534BF6">
        <w:t xml:space="preserve">. </w:t>
      </w:r>
      <w:r>
        <w:t>P</w:t>
      </w:r>
      <w:r w:rsidRPr="00534BF6">
        <w:t>eningkatan permintaan sewaktu-waktu terhadap bahan bangunan menyebabkan perusahaan harus mampu melakukan proses manajerial dengan baik pada sistem produksi, penyediaan bahan baku, serta dapat meramalkan tingkat permintaan pada periode tertentu. Dengan begitu diharapkan perusahaan mampu bersaing</w:t>
      </w:r>
      <w:r>
        <w:t xml:space="preserve"> </w:t>
      </w:r>
      <w:r w:rsidRPr="00534BF6">
        <w:t xml:space="preserve">dalam hal kualitas maupun kuantitas produk yang terjual. </w:t>
      </w:r>
    </w:p>
    <w:p w:rsidR="0028345D" w:rsidRPr="00534BF6" w:rsidRDefault="0028345D" w:rsidP="0028345D">
      <w:pPr>
        <w:jc w:val="both"/>
      </w:pPr>
      <w:r>
        <w:t xml:space="preserve">     </w:t>
      </w:r>
      <w:r w:rsidRPr="00534BF6">
        <w:t>Sistem evaluasi</w:t>
      </w:r>
      <w:r>
        <w:t xml:space="preserve"> s</w:t>
      </w:r>
      <w:r w:rsidRPr="00534BF6">
        <w:t xml:space="preserve">elama ini masih banyak menggunakan penilaian berdasarkan subyektifitas. Dalam penelitian ini berupaya dianalisis faktor-faktor yang berpengaruh dalam mengevaluasi kinerja </w:t>
      </w:r>
      <w:r w:rsidRPr="00C0264B">
        <w:rPr>
          <w:i/>
          <w:iCs/>
        </w:rPr>
        <w:t>supplier</w:t>
      </w:r>
      <w:r w:rsidRPr="00534BF6">
        <w:rPr>
          <w:iCs/>
        </w:rPr>
        <w:t xml:space="preserve"> bahan baku pada PT. Igasar </w:t>
      </w:r>
      <w:r w:rsidRPr="00534BF6">
        <w:t xml:space="preserve">dengan menggunakan </w:t>
      </w:r>
      <w:r w:rsidRPr="00C0264B">
        <w:rPr>
          <w:i/>
          <w:iCs/>
        </w:rPr>
        <w:t>Vendor Performance Indicator</w:t>
      </w:r>
      <w:r w:rsidRPr="00534BF6">
        <w:rPr>
          <w:iCs/>
        </w:rPr>
        <w:t xml:space="preserve"> </w:t>
      </w:r>
      <w:r>
        <w:rPr>
          <w:iCs/>
        </w:rPr>
        <w:t xml:space="preserve">(VPI) </w:t>
      </w:r>
      <w:r w:rsidRPr="00534BF6">
        <w:t xml:space="preserve">yang berkerangka </w:t>
      </w:r>
      <w:r w:rsidRPr="00C0264B">
        <w:rPr>
          <w:i/>
          <w:iCs/>
        </w:rPr>
        <w:t>quality</w:t>
      </w:r>
      <w:r w:rsidRPr="00C0264B">
        <w:rPr>
          <w:i/>
        </w:rPr>
        <w:t>, cost, delivery, flexibility</w:t>
      </w:r>
      <w:r w:rsidRPr="00534BF6">
        <w:t xml:space="preserve">, dan </w:t>
      </w:r>
      <w:r w:rsidRPr="00C0264B">
        <w:rPr>
          <w:i/>
        </w:rPr>
        <w:t>responsiveness</w:t>
      </w:r>
      <w:r w:rsidRPr="00534BF6">
        <w:t xml:space="preserve"> dan penggunaan metode </w:t>
      </w:r>
      <w:r w:rsidRPr="00C0264B">
        <w:rPr>
          <w:i/>
          <w:iCs/>
        </w:rPr>
        <w:t>Analytical Hierarchy Process</w:t>
      </w:r>
      <w:r>
        <w:rPr>
          <w:iCs/>
        </w:rPr>
        <w:t xml:space="preserve"> (AHP)</w:t>
      </w:r>
      <w:r w:rsidRPr="00534BF6">
        <w:t>.</w:t>
      </w:r>
    </w:p>
    <w:p w:rsidR="0028345D" w:rsidRDefault="0028345D" w:rsidP="0028345D">
      <w:pPr>
        <w:jc w:val="both"/>
      </w:pPr>
      <w:r>
        <w:rPr>
          <w:lang w:val="sv-SE"/>
        </w:rPr>
        <w:t xml:space="preserve">     </w:t>
      </w:r>
      <w:r w:rsidRPr="0096734C">
        <w:rPr>
          <w:lang w:val="sv-SE"/>
        </w:rPr>
        <w:t xml:space="preserve">Adapun tujuan penelitian ini adalah </w:t>
      </w:r>
      <w:r>
        <w:t>m</w:t>
      </w:r>
      <w:r w:rsidRPr="00534BF6">
        <w:t xml:space="preserve">erancang </w:t>
      </w:r>
      <w:r w:rsidRPr="00C0264B">
        <w:rPr>
          <w:i/>
        </w:rPr>
        <w:t>Vendor Performance indicator</w:t>
      </w:r>
      <w:r w:rsidRPr="00534BF6">
        <w:t xml:space="preserve"> (VPI) yang dibutuhkan oleh perusahaan</w:t>
      </w:r>
      <w:r>
        <w:t>, dan m</w:t>
      </w:r>
      <w:r w:rsidRPr="00534BF6">
        <w:t xml:space="preserve">engukur performansi </w:t>
      </w:r>
      <w:r w:rsidRPr="00EE0553">
        <w:rPr>
          <w:i/>
        </w:rPr>
        <w:t xml:space="preserve">supplier </w:t>
      </w:r>
      <w:r w:rsidRPr="00534BF6">
        <w:t xml:space="preserve">dan mengevaluasi </w:t>
      </w:r>
      <w:r w:rsidRPr="00EE0553">
        <w:rPr>
          <w:i/>
        </w:rPr>
        <w:t>supplier</w:t>
      </w:r>
    </w:p>
    <w:p w:rsidR="0028345D" w:rsidRPr="00534BF6" w:rsidRDefault="0028345D" w:rsidP="0028345D">
      <w:pPr>
        <w:jc w:val="both"/>
      </w:pPr>
    </w:p>
    <w:p w:rsidR="0028345D" w:rsidRPr="00961E4A" w:rsidRDefault="0028345D" w:rsidP="0028345D">
      <w:pPr>
        <w:jc w:val="both"/>
        <w:rPr>
          <w:b/>
          <w:lang w:val="en-US"/>
        </w:rPr>
      </w:pPr>
      <w:r w:rsidRPr="0096734C">
        <w:rPr>
          <w:b/>
        </w:rPr>
        <w:t>METOD</w:t>
      </w:r>
      <w:r>
        <w:rPr>
          <w:b/>
        </w:rPr>
        <w:t>E PENELITIAN</w:t>
      </w:r>
    </w:p>
    <w:p w:rsidR="0028345D" w:rsidRPr="001B4C03" w:rsidRDefault="0028345D" w:rsidP="0028345D">
      <w:pPr>
        <w:jc w:val="both"/>
        <w:rPr>
          <w:b/>
          <w:lang w:val="en-US"/>
        </w:rPr>
      </w:pPr>
    </w:p>
    <w:p w:rsidR="0028345D" w:rsidRPr="009D4843" w:rsidRDefault="0028345D" w:rsidP="0028345D">
      <w:pPr>
        <w:jc w:val="both"/>
      </w:pPr>
      <w:r>
        <w:t xml:space="preserve">     </w:t>
      </w:r>
      <w:r>
        <w:rPr>
          <w:lang w:val="en-US"/>
        </w:rPr>
        <w:tab/>
      </w:r>
      <w:r w:rsidRPr="00D7175E">
        <w:t xml:space="preserve">Kegiatan penelitian ini dilaksanakan di </w:t>
      </w:r>
      <w:r>
        <w:t>PT Igasar</w:t>
      </w:r>
      <w:r w:rsidRPr="00D7175E">
        <w:t xml:space="preserve"> yang merupakan lokasi penelitian dan </w:t>
      </w:r>
      <w:r>
        <w:t xml:space="preserve">tempat </w:t>
      </w:r>
      <w:r w:rsidRPr="00D7175E">
        <w:t xml:space="preserve">pengambilan data </w:t>
      </w:r>
      <w:r>
        <w:t>primer</w:t>
      </w:r>
      <w:r w:rsidRPr="00D7175E">
        <w:t>.</w:t>
      </w:r>
      <w:r>
        <w:rPr>
          <w:lang w:val="sv-SE"/>
        </w:rPr>
        <w:t xml:space="preserve">  </w:t>
      </w:r>
      <w:r w:rsidRPr="009D4843">
        <w:t>Analisis ini berbentuk analisis deskriptif</w:t>
      </w:r>
      <w:r>
        <w:t xml:space="preserve">. </w:t>
      </w:r>
      <w:r w:rsidRPr="009D4843">
        <w:t xml:space="preserve">Langkah-langkah dalam menentukan pemilihan </w:t>
      </w:r>
      <w:r w:rsidRPr="00C0264B">
        <w:rPr>
          <w:i/>
        </w:rPr>
        <w:t>supplier</w:t>
      </w:r>
      <w:r w:rsidRPr="009D4843">
        <w:t xml:space="preserve"> adalah :</w:t>
      </w:r>
    </w:p>
    <w:p w:rsidR="0028345D" w:rsidRPr="009D4843" w:rsidRDefault="0028345D" w:rsidP="0028345D">
      <w:pPr>
        <w:numPr>
          <w:ilvl w:val="0"/>
          <w:numId w:val="1"/>
        </w:numPr>
        <w:ind w:left="426"/>
        <w:jc w:val="both"/>
      </w:pPr>
      <w:r w:rsidRPr="009D4843">
        <w:t xml:space="preserve">Tahap Penetapan kriteria </w:t>
      </w:r>
      <w:r w:rsidRPr="00C0264B">
        <w:rPr>
          <w:i/>
        </w:rPr>
        <w:t>supplier</w:t>
      </w:r>
      <w:r w:rsidRPr="009D4843">
        <w:t xml:space="preserve"> berdasarkan 5 kriteria sebagai berikut :</w:t>
      </w:r>
    </w:p>
    <w:p w:rsidR="0028345D" w:rsidRPr="00C0264B" w:rsidRDefault="0028345D" w:rsidP="0028345D">
      <w:pPr>
        <w:numPr>
          <w:ilvl w:val="0"/>
          <w:numId w:val="2"/>
        </w:numPr>
        <w:ind w:left="709" w:hanging="283"/>
        <w:jc w:val="both"/>
        <w:rPr>
          <w:i/>
        </w:rPr>
      </w:pPr>
      <w:r w:rsidRPr="009D4843">
        <w:t xml:space="preserve">Penetapan kriteria berdasarkan </w:t>
      </w:r>
      <w:r w:rsidRPr="00C0264B">
        <w:rPr>
          <w:i/>
        </w:rPr>
        <w:t>Quality</w:t>
      </w:r>
    </w:p>
    <w:p w:rsidR="0028345D" w:rsidRPr="009D4843" w:rsidRDefault="0028345D" w:rsidP="0028345D">
      <w:pPr>
        <w:numPr>
          <w:ilvl w:val="0"/>
          <w:numId w:val="2"/>
        </w:numPr>
        <w:ind w:left="709" w:hanging="283"/>
        <w:jc w:val="both"/>
      </w:pPr>
      <w:r w:rsidRPr="009D4843">
        <w:t xml:space="preserve">Penetapan kriteria berdasarkan </w:t>
      </w:r>
      <w:r w:rsidRPr="00C0264B">
        <w:rPr>
          <w:i/>
        </w:rPr>
        <w:t>Cost</w:t>
      </w:r>
    </w:p>
    <w:p w:rsidR="0028345D" w:rsidRPr="00C0264B" w:rsidRDefault="0028345D" w:rsidP="0028345D">
      <w:pPr>
        <w:numPr>
          <w:ilvl w:val="0"/>
          <w:numId w:val="2"/>
        </w:numPr>
        <w:ind w:left="709" w:hanging="283"/>
        <w:jc w:val="both"/>
      </w:pPr>
      <w:r w:rsidRPr="009D4843">
        <w:t xml:space="preserve">Penetapan kriteria berdasarkan </w:t>
      </w:r>
      <w:r w:rsidRPr="00C0264B">
        <w:rPr>
          <w:i/>
        </w:rPr>
        <w:t>Delivery</w:t>
      </w:r>
    </w:p>
    <w:p w:rsidR="0028345D" w:rsidRPr="009D4843" w:rsidRDefault="0028345D" w:rsidP="0028345D">
      <w:pPr>
        <w:numPr>
          <w:ilvl w:val="0"/>
          <w:numId w:val="2"/>
        </w:numPr>
        <w:ind w:left="709" w:hanging="283"/>
        <w:jc w:val="both"/>
      </w:pPr>
      <w:r w:rsidRPr="009D4843">
        <w:t xml:space="preserve">Penetapan kriteria berdasarkan </w:t>
      </w:r>
      <w:r w:rsidRPr="00C0264B">
        <w:rPr>
          <w:i/>
        </w:rPr>
        <w:t>Flexibility</w:t>
      </w:r>
    </w:p>
    <w:p w:rsidR="0028345D" w:rsidRPr="00C0264B" w:rsidRDefault="0028345D" w:rsidP="0028345D">
      <w:pPr>
        <w:numPr>
          <w:ilvl w:val="0"/>
          <w:numId w:val="2"/>
        </w:numPr>
        <w:ind w:left="709" w:hanging="283"/>
        <w:jc w:val="both"/>
      </w:pPr>
      <w:r w:rsidRPr="009D4843">
        <w:t>Penetapan</w:t>
      </w:r>
      <w:r>
        <w:t xml:space="preserve">  kriteria berdasarkan</w:t>
      </w:r>
      <w:r w:rsidRPr="009D4843">
        <w:t xml:space="preserve"> </w:t>
      </w:r>
      <w:r w:rsidRPr="00C0264B">
        <w:rPr>
          <w:i/>
        </w:rPr>
        <w:t>Responsiv</w:t>
      </w:r>
      <w:r>
        <w:rPr>
          <w:i/>
        </w:rPr>
        <w:t>eness</w:t>
      </w:r>
    </w:p>
    <w:p w:rsidR="0028345D" w:rsidRPr="009D4843" w:rsidRDefault="0028345D" w:rsidP="0028345D">
      <w:pPr>
        <w:numPr>
          <w:ilvl w:val="0"/>
          <w:numId w:val="1"/>
        </w:numPr>
        <w:ind w:left="426"/>
        <w:jc w:val="both"/>
      </w:pPr>
      <w:r w:rsidRPr="009D4843">
        <w:t>Tahap Perancangan</w:t>
      </w:r>
    </w:p>
    <w:p w:rsidR="0028345D" w:rsidRPr="009D4843" w:rsidRDefault="0028345D" w:rsidP="0028345D">
      <w:pPr>
        <w:numPr>
          <w:ilvl w:val="0"/>
          <w:numId w:val="3"/>
        </w:numPr>
        <w:ind w:left="709" w:hanging="283"/>
        <w:jc w:val="both"/>
      </w:pPr>
      <w:r w:rsidRPr="009D4843">
        <w:t xml:space="preserve">Identifikasi Indikator Kinerja </w:t>
      </w:r>
      <w:r>
        <w:t>Supplier</w:t>
      </w:r>
      <w:r w:rsidRPr="009D4843">
        <w:t xml:space="preserve">, mengidentifikasi berdasarkan kerangka model penilaian kinerja </w:t>
      </w:r>
      <w:r>
        <w:t>supplier</w:t>
      </w:r>
    </w:p>
    <w:p w:rsidR="0028345D" w:rsidRPr="009D4843" w:rsidRDefault="0028345D" w:rsidP="0028345D">
      <w:pPr>
        <w:numPr>
          <w:ilvl w:val="0"/>
          <w:numId w:val="3"/>
        </w:numPr>
        <w:ind w:left="709" w:hanging="283"/>
        <w:jc w:val="both"/>
      </w:pPr>
      <w:r w:rsidRPr="009D4843">
        <w:t>Pembobotan IKP dengan AHP (</w:t>
      </w:r>
      <w:r w:rsidRPr="00C0264B">
        <w:rPr>
          <w:i/>
        </w:rPr>
        <w:t>Analytical Hierarki Proses</w:t>
      </w:r>
      <w:r w:rsidRPr="009D4843">
        <w:t>), pembobotan dilakukan dengan AHP melalui skor penilaian yang didapat dari departemen pengadaan barang dan diolah sehingga diperoleh bobot dari masing-masing IKP.</w:t>
      </w:r>
    </w:p>
    <w:p w:rsidR="0028345D" w:rsidRPr="009D4843" w:rsidRDefault="0028345D" w:rsidP="0028345D">
      <w:pPr>
        <w:numPr>
          <w:ilvl w:val="0"/>
          <w:numId w:val="1"/>
        </w:numPr>
        <w:ind w:left="426"/>
        <w:jc w:val="both"/>
      </w:pPr>
      <w:r w:rsidRPr="009D4843">
        <w:t>Tahap perhitungan skor Kriteria Q, C, D, F, R</w:t>
      </w:r>
    </w:p>
    <w:p w:rsidR="0028345D" w:rsidRPr="009D4843" w:rsidRDefault="0028345D" w:rsidP="0028345D">
      <w:pPr>
        <w:jc w:val="both"/>
      </w:pPr>
      <w:r>
        <w:t xml:space="preserve">     </w:t>
      </w:r>
      <w:r>
        <w:rPr>
          <w:lang w:val="en-US"/>
        </w:rPr>
        <w:tab/>
      </w:r>
      <w:r w:rsidRPr="009D4843">
        <w:t>Dilakukan  pengumpulan data realisasi dan dilakukan perhitungan skor kriteria, dimana skor kriteria diperoleh dari :</w:t>
      </w:r>
    </w:p>
    <w:p w:rsidR="0028345D" w:rsidRPr="009D4843" w:rsidRDefault="0028345D" w:rsidP="0028345D">
      <w:pPr>
        <w:numPr>
          <w:ilvl w:val="0"/>
          <w:numId w:val="4"/>
        </w:numPr>
        <w:ind w:left="426"/>
        <w:jc w:val="both"/>
      </w:pPr>
      <w:r w:rsidRPr="009D4843">
        <w:t xml:space="preserve">Skor </w:t>
      </w:r>
      <w:r w:rsidRPr="00C0264B">
        <w:rPr>
          <w:i/>
        </w:rPr>
        <w:t>Quality</w:t>
      </w:r>
      <w:r w:rsidRPr="009D4843">
        <w:t xml:space="preserve"> : Skor IKP1 x Bobot IKP1 + Skor IKP2 x Bobot IKP2 dan hasil nya di kali 100% </w:t>
      </w:r>
    </w:p>
    <w:p w:rsidR="0028345D" w:rsidRDefault="0028345D" w:rsidP="0028345D">
      <w:pPr>
        <w:numPr>
          <w:ilvl w:val="0"/>
          <w:numId w:val="4"/>
        </w:numPr>
        <w:ind w:left="426"/>
        <w:jc w:val="both"/>
      </w:pPr>
      <w:r w:rsidRPr="009D4843">
        <w:t xml:space="preserve">Skor </w:t>
      </w:r>
      <w:r w:rsidRPr="00C0264B">
        <w:rPr>
          <w:i/>
        </w:rPr>
        <w:t xml:space="preserve">Cost </w:t>
      </w:r>
      <w:r w:rsidRPr="009D4843">
        <w:t>: Skor IKP3 x Bobot IKP3 + Skor IKP4 x Bobot IKP4 dan hasil nya di kali 100% .</w:t>
      </w:r>
    </w:p>
    <w:p w:rsidR="0028345D" w:rsidRPr="009D4843" w:rsidRDefault="0028345D" w:rsidP="0028345D">
      <w:pPr>
        <w:numPr>
          <w:ilvl w:val="0"/>
          <w:numId w:val="4"/>
        </w:numPr>
        <w:ind w:left="426"/>
        <w:jc w:val="both"/>
      </w:pPr>
      <w:r w:rsidRPr="009D4843">
        <w:lastRenderedPageBreak/>
        <w:t xml:space="preserve">Skor </w:t>
      </w:r>
      <w:r w:rsidRPr="00C0264B">
        <w:rPr>
          <w:i/>
        </w:rPr>
        <w:t>Delivery</w:t>
      </w:r>
      <w:r w:rsidRPr="009D4843">
        <w:t xml:space="preserve"> : Skor IKP5 x Bobot IKP5 + Skor IKP6 x Bobot IKP6 dan hasil nya di kali 100% </w:t>
      </w:r>
    </w:p>
    <w:p w:rsidR="0028345D" w:rsidRPr="009D4843" w:rsidRDefault="0028345D" w:rsidP="0028345D">
      <w:pPr>
        <w:numPr>
          <w:ilvl w:val="0"/>
          <w:numId w:val="4"/>
        </w:numPr>
        <w:ind w:left="426"/>
        <w:jc w:val="both"/>
      </w:pPr>
      <w:r w:rsidRPr="009D4843">
        <w:t xml:space="preserve">Skor </w:t>
      </w:r>
      <w:r w:rsidRPr="00C0264B">
        <w:rPr>
          <w:i/>
        </w:rPr>
        <w:t>Flexibility</w:t>
      </w:r>
      <w:r w:rsidRPr="009D4843">
        <w:t xml:space="preserve"> : Skor IKP7 x Bobot IKP7 + Skor IKP8 x Bobot IKP8 + Skor IKP9 x Bobot IKP9 dan hasil nya di kali 100%.</w:t>
      </w:r>
    </w:p>
    <w:p w:rsidR="0028345D" w:rsidRPr="001B4C03" w:rsidRDefault="0028345D" w:rsidP="0028345D">
      <w:pPr>
        <w:numPr>
          <w:ilvl w:val="0"/>
          <w:numId w:val="4"/>
        </w:numPr>
        <w:ind w:left="426"/>
        <w:jc w:val="both"/>
      </w:pPr>
      <w:r w:rsidRPr="009D4843">
        <w:t xml:space="preserve">Skor </w:t>
      </w:r>
      <w:r w:rsidRPr="00C0264B">
        <w:rPr>
          <w:i/>
        </w:rPr>
        <w:t>Responsiveness</w:t>
      </w:r>
      <w:r w:rsidRPr="009D4843">
        <w:t xml:space="preserve"> : Skor IKP10 x Bobot IKP10 + Skor IKP11 x Bobot IKP11 Skor IKP12 x Bobot IKP12 dan hasil nya di kali 100%.</w:t>
      </w:r>
    </w:p>
    <w:p w:rsidR="0028345D" w:rsidRPr="0054479D" w:rsidRDefault="0028345D" w:rsidP="0028345D">
      <w:pPr>
        <w:ind w:left="426"/>
        <w:jc w:val="both"/>
      </w:pPr>
    </w:p>
    <w:p w:rsidR="0028345D" w:rsidRDefault="0028345D" w:rsidP="0028345D">
      <w:pPr>
        <w:jc w:val="both"/>
        <w:rPr>
          <w:b/>
          <w:lang w:val="en-US"/>
        </w:rPr>
      </w:pPr>
      <w:r w:rsidRPr="00937BF9">
        <w:rPr>
          <w:b/>
        </w:rPr>
        <w:t>HASIL DAN PEMBAHASAN</w:t>
      </w:r>
    </w:p>
    <w:p w:rsidR="0028345D" w:rsidRPr="001B4C03" w:rsidRDefault="0028345D" w:rsidP="0028345D">
      <w:pPr>
        <w:jc w:val="both"/>
        <w:rPr>
          <w:b/>
          <w:lang w:val="en-US"/>
        </w:rPr>
      </w:pPr>
    </w:p>
    <w:p w:rsidR="0028345D" w:rsidRPr="00961E4A" w:rsidRDefault="0028345D" w:rsidP="0028345D">
      <w:pPr>
        <w:pStyle w:val="Default"/>
        <w:rPr>
          <w:b/>
          <w:i/>
          <w:lang w:val="id-ID"/>
        </w:rPr>
      </w:pPr>
      <w:r w:rsidRPr="00961E4A">
        <w:rPr>
          <w:b/>
          <w:i/>
        </w:rPr>
        <w:t>P</w:t>
      </w:r>
      <w:r w:rsidRPr="00961E4A">
        <w:rPr>
          <w:b/>
          <w:i/>
          <w:lang w:val="id-ID"/>
        </w:rPr>
        <w:t>enetapan Kriteria Pemilihan Supplier PT. Igasar</w:t>
      </w:r>
    </w:p>
    <w:p w:rsidR="0028345D" w:rsidRDefault="0028345D" w:rsidP="0028345D">
      <w:pPr>
        <w:jc w:val="both"/>
        <w:rPr>
          <w:lang w:val="en-US"/>
        </w:rPr>
      </w:pPr>
      <w:r>
        <w:t xml:space="preserve">     </w:t>
      </w:r>
      <w:r>
        <w:rPr>
          <w:lang w:val="en-US"/>
        </w:rPr>
        <w:tab/>
      </w:r>
      <w:r w:rsidRPr="009C72D0">
        <w:t xml:space="preserve">Kriteria Seleksi </w:t>
      </w:r>
      <w:r>
        <w:rPr>
          <w:i/>
        </w:rPr>
        <w:t>supplier</w:t>
      </w:r>
      <w:r w:rsidRPr="009C72D0">
        <w:t xml:space="preserve"> yang digunakan dalam penelitan ini adalah multi kriteria (finansial dan non finansial) yang mengacu pada model QCDFR dimana terdapat lima kriteria yaitu: </w:t>
      </w:r>
      <w:r w:rsidRPr="00C0264B">
        <w:rPr>
          <w:i/>
        </w:rPr>
        <w:t>Quality, Cost, Delivery, Flexiblity, Responsiveness</w:t>
      </w:r>
      <w:r w:rsidRPr="009C72D0">
        <w:t>.</w:t>
      </w:r>
    </w:p>
    <w:p w:rsidR="0028345D" w:rsidRPr="00C0264B" w:rsidRDefault="0028345D" w:rsidP="0028345D">
      <w:pPr>
        <w:pStyle w:val="ListParagraph"/>
        <w:numPr>
          <w:ilvl w:val="0"/>
          <w:numId w:val="6"/>
        </w:numPr>
        <w:spacing w:after="0" w:line="240" w:lineRule="auto"/>
        <w:ind w:left="426"/>
        <w:contextualSpacing/>
        <w:jc w:val="both"/>
        <w:rPr>
          <w:rFonts w:ascii="Times New Roman" w:hAnsi="Times New Roman"/>
          <w:i/>
          <w:sz w:val="24"/>
          <w:szCs w:val="24"/>
        </w:rPr>
      </w:pPr>
      <w:r w:rsidRPr="00C0264B">
        <w:rPr>
          <w:rFonts w:ascii="Times New Roman" w:hAnsi="Times New Roman"/>
          <w:i/>
          <w:sz w:val="24"/>
          <w:szCs w:val="24"/>
        </w:rPr>
        <w:t>Quality</w:t>
      </w:r>
    </w:p>
    <w:p w:rsidR="0028345D" w:rsidRPr="009C72D0" w:rsidRDefault="0028345D" w:rsidP="0028345D">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Kualitas merupakan salah satu kriteria yang paling penting dipertimbangkan oleh PT. Igasar dalam memilih </w:t>
      </w:r>
      <w:r>
        <w:rPr>
          <w:rFonts w:ascii="Times New Roman" w:hAnsi="Times New Roman"/>
          <w:sz w:val="24"/>
          <w:szCs w:val="24"/>
        </w:rPr>
        <w:t>supplier</w:t>
      </w:r>
      <w:r w:rsidRPr="009C72D0">
        <w:rPr>
          <w:rFonts w:ascii="Times New Roman" w:hAnsi="Times New Roman"/>
          <w:sz w:val="24"/>
          <w:szCs w:val="24"/>
        </w:rPr>
        <w:t xml:space="preserve"> barang. Kualitas adalah sesuatu yang bisa mempertahankan </w:t>
      </w:r>
      <w:r>
        <w:rPr>
          <w:rFonts w:ascii="Times New Roman" w:hAnsi="Times New Roman"/>
          <w:sz w:val="24"/>
          <w:szCs w:val="24"/>
          <w:lang w:val="en-US"/>
        </w:rPr>
        <w:t>lo</w:t>
      </w:r>
      <w:r w:rsidRPr="009C72D0">
        <w:rPr>
          <w:rFonts w:ascii="Times New Roman" w:hAnsi="Times New Roman"/>
          <w:sz w:val="24"/>
          <w:szCs w:val="24"/>
        </w:rPr>
        <w:t xml:space="preserve">yalitas </w:t>
      </w:r>
      <w:r>
        <w:rPr>
          <w:rFonts w:ascii="Times New Roman" w:hAnsi="Times New Roman"/>
          <w:sz w:val="24"/>
          <w:szCs w:val="24"/>
        </w:rPr>
        <w:t>supplier</w:t>
      </w:r>
      <w:r w:rsidRPr="009C72D0">
        <w:rPr>
          <w:rFonts w:ascii="Times New Roman" w:hAnsi="Times New Roman"/>
          <w:sz w:val="24"/>
          <w:szCs w:val="24"/>
        </w:rPr>
        <w:t xml:space="preserve"> terhadap perusahaan, kriteria ini menilai </w:t>
      </w:r>
      <w:r>
        <w:rPr>
          <w:rFonts w:ascii="Times New Roman" w:hAnsi="Times New Roman"/>
          <w:i/>
          <w:sz w:val="24"/>
          <w:szCs w:val="24"/>
          <w:lang w:val="en-US"/>
        </w:rPr>
        <w:t xml:space="preserve">supplier </w:t>
      </w:r>
      <w:r w:rsidRPr="009C72D0">
        <w:rPr>
          <w:rFonts w:ascii="Times New Roman" w:hAnsi="Times New Roman"/>
          <w:sz w:val="24"/>
          <w:szCs w:val="24"/>
        </w:rPr>
        <w:t xml:space="preserve">dari segi kualitas produk yang diberikan </w:t>
      </w:r>
      <w:r>
        <w:rPr>
          <w:rFonts w:ascii="Times New Roman" w:hAnsi="Times New Roman"/>
          <w:i/>
          <w:sz w:val="24"/>
          <w:szCs w:val="24"/>
          <w:lang w:val="en-US"/>
        </w:rPr>
        <w:t>supplier</w:t>
      </w:r>
      <w:r w:rsidRPr="009C72D0">
        <w:rPr>
          <w:rFonts w:ascii="Times New Roman" w:hAnsi="Times New Roman"/>
          <w:sz w:val="24"/>
          <w:szCs w:val="24"/>
        </w:rPr>
        <w:t xml:space="preserve"> ke perusahaan, jika </w:t>
      </w:r>
      <w:r>
        <w:rPr>
          <w:rFonts w:ascii="Times New Roman" w:hAnsi="Times New Roman"/>
          <w:sz w:val="24"/>
          <w:szCs w:val="24"/>
        </w:rPr>
        <w:t>supplier</w:t>
      </w:r>
      <w:r w:rsidRPr="009C72D0">
        <w:rPr>
          <w:rFonts w:ascii="Times New Roman" w:hAnsi="Times New Roman"/>
          <w:sz w:val="24"/>
          <w:szCs w:val="24"/>
        </w:rPr>
        <w:t xml:space="preserve"> bisa memberikan barang yang berkualitas maka perusahaan sebagai pelanggan akan loyal terhadap barang tersebut karena mendapatkan  kepuasan terhadap barang tersebut.</w:t>
      </w:r>
    </w:p>
    <w:p w:rsidR="0028345D" w:rsidRPr="009C72D0" w:rsidRDefault="0028345D" w:rsidP="0028345D">
      <w:pPr>
        <w:pStyle w:val="ListParagraph"/>
        <w:spacing w:after="0" w:line="240" w:lineRule="auto"/>
        <w:ind w:left="0" w:firstLine="720"/>
        <w:jc w:val="both"/>
        <w:rPr>
          <w:rFonts w:ascii="Times New Roman" w:hAnsi="Times New Roman"/>
          <w:sz w:val="24"/>
          <w:szCs w:val="24"/>
        </w:rPr>
      </w:pPr>
      <w:r w:rsidRPr="009C72D0">
        <w:rPr>
          <w:rFonts w:ascii="Times New Roman" w:hAnsi="Times New Roman"/>
          <w:sz w:val="24"/>
          <w:szCs w:val="24"/>
        </w:rPr>
        <w:t xml:space="preserve">Penetapan kriteria kualitas pada PT. Igasar merupakan suatu cara yang digunakan untuk memilih </w:t>
      </w:r>
      <w:r>
        <w:rPr>
          <w:rFonts w:ascii="Times New Roman" w:hAnsi="Times New Roman"/>
          <w:i/>
          <w:sz w:val="24"/>
          <w:szCs w:val="24"/>
          <w:lang w:val="en-US"/>
        </w:rPr>
        <w:t>supplier</w:t>
      </w:r>
      <w:r w:rsidRPr="009C72D0">
        <w:rPr>
          <w:rFonts w:ascii="Times New Roman" w:hAnsi="Times New Roman"/>
          <w:sz w:val="24"/>
          <w:szCs w:val="24"/>
        </w:rPr>
        <w:t xml:space="preserve"> barang-barang material ke pabrik, dimana kriteria tersebut telah ditentukan oleh bagian pengadaan barang. Adapun kriteria kualitas yang diberikan oleh PT. Igasar  kepada </w:t>
      </w:r>
      <w:r>
        <w:rPr>
          <w:rFonts w:ascii="Times New Roman" w:hAnsi="Times New Roman"/>
          <w:i/>
          <w:sz w:val="24"/>
          <w:szCs w:val="24"/>
          <w:lang w:val="en-US"/>
        </w:rPr>
        <w:t>supplier</w:t>
      </w:r>
      <w:r w:rsidRPr="009C72D0">
        <w:rPr>
          <w:rFonts w:ascii="Times New Roman" w:hAnsi="Times New Roman"/>
          <w:sz w:val="24"/>
          <w:szCs w:val="24"/>
        </w:rPr>
        <w:t xml:space="preserve"> adalah barang yang akan dipasok harus sesuai dengan spesifikasi yang diminta, untuk spesifikasi batu mangga yang diminta oleh perusahaan adalah : Barang yang </w:t>
      </w:r>
      <w:r w:rsidRPr="009C72D0">
        <w:rPr>
          <w:rFonts w:ascii="Times New Roman" w:hAnsi="Times New Roman"/>
          <w:sz w:val="24"/>
          <w:szCs w:val="24"/>
        </w:rPr>
        <w:lastRenderedPageBreak/>
        <w:t xml:space="preserve">dikirimkan oleh </w:t>
      </w:r>
      <w:r>
        <w:rPr>
          <w:rFonts w:ascii="Times New Roman" w:hAnsi="Times New Roman"/>
          <w:sz w:val="24"/>
          <w:szCs w:val="24"/>
        </w:rPr>
        <w:t>supplier</w:t>
      </w:r>
      <w:r w:rsidRPr="009C72D0">
        <w:rPr>
          <w:rFonts w:ascii="Times New Roman" w:hAnsi="Times New Roman"/>
          <w:sz w:val="24"/>
          <w:szCs w:val="24"/>
        </w:rPr>
        <w:t xml:space="preserve"> masih sering ditemukan tidak sesuai dengan spesifikasi yang diminta,terutama pada saat pembelian batu mangga ukuran batu ada yang terlalu kecil dan ada pula yang terlalu besar. Ukuran batu mangga yang diterima oleh perusahaan diameternya 10 – 20 cm dengan kadar lumpur maksimal 2%. Batu mangga yang diameter nya lebih kecil atau pun lebih besar dari yang diminta oleh perusahaan, ketidak sesuaian ukuran barang yang diminta tentunya akan mengganggu kegiatan operasional perusahaan, apabila </w:t>
      </w:r>
      <w:r w:rsidRPr="003F7AB0">
        <w:rPr>
          <w:rFonts w:ascii="Times New Roman" w:hAnsi="Times New Roman"/>
          <w:i/>
          <w:sz w:val="24"/>
          <w:szCs w:val="24"/>
        </w:rPr>
        <w:t>supplier</w:t>
      </w:r>
      <w:r w:rsidRPr="009C72D0">
        <w:rPr>
          <w:rFonts w:ascii="Times New Roman" w:hAnsi="Times New Roman"/>
          <w:sz w:val="24"/>
          <w:szCs w:val="24"/>
        </w:rPr>
        <w:t xml:space="preserve"> tetap mengirimkan batu mangga yang tidak sesuai dengan standar perusahaan, maka perusahaan berhak untuk melakukan potongan sebesar 5% per kilonya, bahkan perusahaan dapat menolak barang yang telah dikirimkan oleh </w:t>
      </w:r>
      <w:r w:rsidRPr="003F7AB0">
        <w:rPr>
          <w:rFonts w:ascii="Times New Roman" w:hAnsi="Times New Roman"/>
          <w:i/>
          <w:sz w:val="24"/>
          <w:szCs w:val="24"/>
        </w:rPr>
        <w:t>supplier</w:t>
      </w:r>
      <w:r w:rsidRPr="009C72D0">
        <w:rPr>
          <w:rFonts w:ascii="Times New Roman" w:hAnsi="Times New Roman"/>
          <w:sz w:val="24"/>
          <w:szCs w:val="24"/>
        </w:rPr>
        <w:t xml:space="preserve"> apabila tidak sesuai dengan kriteria yang dibutuhkan perusahaan. Dalam hal ini yang harus teliti dalam penerimaan barang adalah bagian penerimaan dan gudang, karena harus teliti dalam menerima barang yang dikirimkan oleh </w:t>
      </w:r>
      <w:r w:rsidRPr="003F7AB0">
        <w:rPr>
          <w:rFonts w:ascii="Times New Roman" w:hAnsi="Times New Roman"/>
          <w:i/>
          <w:sz w:val="24"/>
          <w:szCs w:val="24"/>
        </w:rPr>
        <w:t>supplier</w:t>
      </w:r>
      <w:r w:rsidRPr="009C72D0">
        <w:rPr>
          <w:rFonts w:ascii="Times New Roman" w:hAnsi="Times New Roman"/>
          <w:sz w:val="24"/>
          <w:szCs w:val="24"/>
        </w:rPr>
        <w:t xml:space="preserve"> sebelum masuk dan menjadi persediaan di gudang. Kesalahan yang sering terjadi disebabkan oleh kurangnya indikator dan penilaian dalam penetapan pemilihan </w:t>
      </w:r>
      <w:r>
        <w:rPr>
          <w:rFonts w:ascii="Times New Roman" w:hAnsi="Times New Roman"/>
          <w:sz w:val="24"/>
          <w:szCs w:val="24"/>
        </w:rPr>
        <w:t>supplier</w:t>
      </w:r>
      <w:r w:rsidRPr="009C72D0">
        <w:rPr>
          <w:rFonts w:ascii="Times New Roman" w:hAnsi="Times New Roman"/>
          <w:sz w:val="24"/>
          <w:szCs w:val="24"/>
        </w:rPr>
        <w:t>.</w:t>
      </w:r>
    </w:p>
    <w:p w:rsidR="0028345D" w:rsidRPr="003F7AB0" w:rsidRDefault="0028345D" w:rsidP="0028345D">
      <w:pPr>
        <w:pStyle w:val="ListParagraph"/>
        <w:numPr>
          <w:ilvl w:val="0"/>
          <w:numId w:val="6"/>
        </w:numPr>
        <w:spacing w:after="0" w:line="240" w:lineRule="auto"/>
        <w:ind w:left="426"/>
        <w:contextualSpacing/>
        <w:jc w:val="both"/>
        <w:rPr>
          <w:rFonts w:ascii="Times New Roman" w:hAnsi="Times New Roman"/>
          <w:i/>
          <w:sz w:val="24"/>
          <w:szCs w:val="24"/>
        </w:rPr>
      </w:pPr>
      <w:r w:rsidRPr="003F7AB0">
        <w:rPr>
          <w:rFonts w:ascii="Times New Roman" w:hAnsi="Times New Roman"/>
          <w:i/>
          <w:sz w:val="24"/>
          <w:szCs w:val="24"/>
        </w:rPr>
        <w:t>Cost</w:t>
      </w:r>
    </w:p>
    <w:p w:rsidR="0028345D" w:rsidRDefault="0028345D" w:rsidP="0028345D">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Kriteria biaya material yang dipasok oleh </w:t>
      </w:r>
      <w:r>
        <w:rPr>
          <w:rFonts w:ascii="Times New Roman" w:hAnsi="Times New Roman"/>
          <w:sz w:val="24"/>
          <w:szCs w:val="24"/>
        </w:rPr>
        <w:t>supplier</w:t>
      </w:r>
      <w:r w:rsidRPr="009C72D0">
        <w:rPr>
          <w:rFonts w:ascii="Times New Roman" w:hAnsi="Times New Roman"/>
          <w:sz w:val="24"/>
          <w:szCs w:val="24"/>
        </w:rPr>
        <w:t xml:space="preserve"> merupakan kriteria finansial yang menjadi pertimbangan utama setiap pabrik dalam memilih </w:t>
      </w:r>
      <w:r>
        <w:rPr>
          <w:rFonts w:ascii="Times New Roman" w:hAnsi="Times New Roman"/>
          <w:sz w:val="24"/>
          <w:szCs w:val="24"/>
        </w:rPr>
        <w:t>supplier</w:t>
      </w:r>
      <w:r w:rsidRPr="009C72D0">
        <w:rPr>
          <w:rFonts w:ascii="Times New Roman" w:hAnsi="Times New Roman"/>
          <w:sz w:val="24"/>
          <w:szCs w:val="24"/>
        </w:rPr>
        <w:t>.</w:t>
      </w:r>
      <w:r>
        <w:rPr>
          <w:rFonts w:ascii="Times New Roman" w:hAnsi="Times New Roman"/>
          <w:sz w:val="24"/>
          <w:szCs w:val="24"/>
        </w:rPr>
        <w:t xml:space="preserve">  </w:t>
      </w:r>
      <w:r w:rsidRPr="009C72D0">
        <w:rPr>
          <w:rFonts w:ascii="Times New Roman" w:hAnsi="Times New Roman"/>
          <w:sz w:val="24"/>
          <w:szCs w:val="24"/>
        </w:rPr>
        <w:t xml:space="preserve">Penetapan kriteria biaya oleh PT. Igasar adalah berdasarkan harga yang sesuai dengan penawaran dan permintaan diskon harga yang telah disepakati oleh perusahaan dengan </w:t>
      </w:r>
      <w:r>
        <w:rPr>
          <w:rFonts w:ascii="Times New Roman" w:hAnsi="Times New Roman"/>
          <w:sz w:val="24"/>
          <w:szCs w:val="24"/>
        </w:rPr>
        <w:t>supplier</w:t>
      </w:r>
      <w:r w:rsidRPr="009C72D0">
        <w:rPr>
          <w:rFonts w:ascii="Times New Roman" w:hAnsi="Times New Roman"/>
          <w:sz w:val="24"/>
          <w:szCs w:val="24"/>
        </w:rPr>
        <w:t xml:space="preserve"> barang pada saat proses tender pada saat proses tender ada 3 (tiga) calon </w:t>
      </w:r>
      <w:r>
        <w:rPr>
          <w:rFonts w:ascii="Times New Roman" w:hAnsi="Times New Roman"/>
          <w:sz w:val="24"/>
          <w:szCs w:val="24"/>
        </w:rPr>
        <w:t>Supplier</w:t>
      </w:r>
      <w:r w:rsidRPr="009C72D0">
        <w:rPr>
          <w:rFonts w:ascii="Times New Roman" w:hAnsi="Times New Roman"/>
          <w:sz w:val="24"/>
          <w:szCs w:val="24"/>
        </w:rPr>
        <w:t xml:space="preserve"> yang akan menjadi </w:t>
      </w:r>
      <w:r>
        <w:rPr>
          <w:rFonts w:ascii="Times New Roman" w:hAnsi="Times New Roman"/>
          <w:sz w:val="24"/>
          <w:szCs w:val="24"/>
        </w:rPr>
        <w:t>supplier</w:t>
      </w:r>
      <w:r w:rsidRPr="009C72D0">
        <w:rPr>
          <w:rFonts w:ascii="Times New Roman" w:hAnsi="Times New Roman"/>
          <w:sz w:val="24"/>
          <w:szCs w:val="24"/>
        </w:rPr>
        <w:t xml:space="preserve"> batu mangga pada PT. Igasar yaitu UD. Minang Jaya, CV. Yudi Contractor, dan CV. Patamuan Indah. pada saat pemilihan </w:t>
      </w:r>
      <w:r>
        <w:rPr>
          <w:rFonts w:ascii="Times New Roman" w:hAnsi="Times New Roman"/>
          <w:sz w:val="24"/>
          <w:szCs w:val="24"/>
        </w:rPr>
        <w:t>supplier</w:t>
      </w:r>
      <w:r w:rsidRPr="009C72D0">
        <w:rPr>
          <w:rFonts w:ascii="Times New Roman" w:hAnsi="Times New Roman"/>
          <w:sz w:val="24"/>
          <w:szCs w:val="24"/>
        </w:rPr>
        <w:t xml:space="preserve"> bagian pengadaan barang biasanya memilih </w:t>
      </w:r>
      <w:r>
        <w:rPr>
          <w:rFonts w:ascii="Times New Roman" w:hAnsi="Times New Roman"/>
          <w:sz w:val="24"/>
          <w:szCs w:val="24"/>
        </w:rPr>
        <w:t>supplier</w:t>
      </w:r>
      <w:r w:rsidRPr="009C72D0">
        <w:rPr>
          <w:rFonts w:ascii="Times New Roman" w:hAnsi="Times New Roman"/>
          <w:sz w:val="24"/>
          <w:szCs w:val="24"/>
        </w:rPr>
        <w:t xml:space="preserve"> dengan harga penawaran yang terendah.</w:t>
      </w:r>
    </w:p>
    <w:p w:rsidR="0028345D" w:rsidRPr="003F7AB0" w:rsidRDefault="0028345D" w:rsidP="0028345D">
      <w:pPr>
        <w:pStyle w:val="ListParagraph"/>
        <w:numPr>
          <w:ilvl w:val="0"/>
          <w:numId w:val="6"/>
        </w:numPr>
        <w:spacing w:after="0" w:line="240" w:lineRule="auto"/>
        <w:ind w:left="426"/>
        <w:contextualSpacing/>
        <w:jc w:val="both"/>
        <w:rPr>
          <w:rFonts w:ascii="Times New Roman" w:hAnsi="Times New Roman"/>
          <w:i/>
          <w:sz w:val="24"/>
          <w:szCs w:val="24"/>
        </w:rPr>
      </w:pPr>
      <w:r w:rsidRPr="003F7AB0">
        <w:rPr>
          <w:rFonts w:ascii="Times New Roman" w:hAnsi="Times New Roman"/>
          <w:i/>
          <w:sz w:val="24"/>
          <w:szCs w:val="24"/>
        </w:rPr>
        <w:lastRenderedPageBreak/>
        <w:t>Delivery</w:t>
      </w:r>
    </w:p>
    <w:p w:rsidR="0028345D" w:rsidRPr="009C72D0" w:rsidRDefault="0028345D" w:rsidP="0028345D">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Kriteria ini menilai </w:t>
      </w:r>
      <w:r>
        <w:rPr>
          <w:rFonts w:ascii="Times New Roman" w:hAnsi="Times New Roman"/>
          <w:sz w:val="24"/>
          <w:szCs w:val="24"/>
        </w:rPr>
        <w:t>supplier</w:t>
      </w:r>
      <w:r w:rsidRPr="009C72D0">
        <w:rPr>
          <w:rFonts w:ascii="Times New Roman" w:hAnsi="Times New Roman"/>
          <w:sz w:val="24"/>
          <w:szCs w:val="24"/>
        </w:rPr>
        <w:t xml:space="preserve"> dari segi pelayanan pengiriman barang material atau  bahan baku baik mengenai ketepatan waktu pengiriman maupun ketepatan jumlah barang yang dikirim serta waktu pengiriman barang yang diprioritaskan sehingga tidak mengganggu kelancaran kegiatan operasional.</w:t>
      </w:r>
    </w:p>
    <w:p w:rsidR="0028345D" w:rsidRDefault="0028345D" w:rsidP="0028345D">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Pr="009C72D0">
        <w:rPr>
          <w:rFonts w:ascii="Times New Roman" w:hAnsi="Times New Roman"/>
          <w:sz w:val="24"/>
          <w:szCs w:val="24"/>
        </w:rPr>
        <w:t xml:space="preserve">Pelayanan Pengiriman batu mangga oleh </w:t>
      </w:r>
      <w:r>
        <w:rPr>
          <w:rFonts w:ascii="Times New Roman" w:hAnsi="Times New Roman"/>
          <w:sz w:val="24"/>
          <w:szCs w:val="24"/>
        </w:rPr>
        <w:t>supplier</w:t>
      </w:r>
      <w:r w:rsidRPr="009C72D0">
        <w:rPr>
          <w:rFonts w:ascii="Times New Roman" w:hAnsi="Times New Roman"/>
          <w:sz w:val="24"/>
          <w:szCs w:val="24"/>
        </w:rPr>
        <w:t xml:space="preserve"> cukup baik tetapi masih pernah terjadi keterlambatan pengiriman batu mangga ini dikarenakan alasan mereka stok barang yang telah habis sehingga meminta waktu penundaan pengiriman barang ke PT. Igasar. Hal tersebut tentunya dapat mengganggu proses produksi perusahaan dan dapat menyebabkan kekosongan pada persediaan.</w:t>
      </w:r>
    </w:p>
    <w:p w:rsidR="0028345D" w:rsidRPr="003F7AB0" w:rsidRDefault="0028345D" w:rsidP="0028345D">
      <w:pPr>
        <w:pStyle w:val="ListParagraph"/>
        <w:numPr>
          <w:ilvl w:val="0"/>
          <w:numId w:val="6"/>
        </w:numPr>
        <w:spacing w:after="0" w:line="240" w:lineRule="auto"/>
        <w:ind w:left="426"/>
        <w:contextualSpacing/>
        <w:jc w:val="both"/>
        <w:rPr>
          <w:rFonts w:ascii="Times New Roman" w:hAnsi="Times New Roman"/>
          <w:i/>
          <w:sz w:val="24"/>
          <w:szCs w:val="24"/>
        </w:rPr>
      </w:pPr>
      <w:r w:rsidRPr="003F7AB0">
        <w:rPr>
          <w:rFonts w:ascii="Times New Roman" w:hAnsi="Times New Roman"/>
          <w:i/>
          <w:sz w:val="24"/>
          <w:szCs w:val="24"/>
        </w:rPr>
        <w:t xml:space="preserve">Flexibility </w:t>
      </w:r>
    </w:p>
    <w:p w:rsidR="0028345D" w:rsidRDefault="0028345D" w:rsidP="0028345D">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Kriteria ini menilai </w:t>
      </w:r>
      <w:r>
        <w:rPr>
          <w:rFonts w:ascii="Times New Roman" w:hAnsi="Times New Roman"/>
          <w:sz w:val="24"/>
          <w:szCs w:val="24"/>
        </w:rPr>
        <w:t>supplier</w:t>
      </w:r>
      <w:r w:rsidRPr="009C72D0">
        <w:rPr>
          <w:rFonts w:ascii="Times New Roman" w:hAnsi="Times New Roman"/>
          <w:sz w:val="24"/>
          <w:szCs w:val="24"/>
        </w:rPr>
        <w:t xml:space="preserve"> dari segi kemampuan </w:t>
      </w:r>
      <w:r>
        <w:rPr>
          <w:rFonts w:ascii="Times New Roman" w:hAnsi="Times New Roman"/>
          <w:sz w:val="24"/>
          <w:szCs w:val="24"/>
        </w:rPr>
        <w:t>supplier</w:t>
      </w:r>
      <w:r w:rsidRPr="009C72D0">
        <w:rPr>
          <w:rFonts w:ascii="Times New Roman" w:hAnsi="Times New Roman"/>
          <w:sz w:val="24"/>
          <w:szCs w:val="24"/>
        </w:rPr>
        <w:t xml:space="preserve"> dalam merespon problem maupun permintaan. Dalam hal ini sering terjadi pada setiap pembelian barang material terutama pada pembelian batu mangga, ketika kebutuhan meningkat akan bahan-bahan bangunan, maka perusahaan akan membutuhkan pasokan tambahan batu mangga untuk proses produksinya. Kemampuan </w:t>
      </w:r>
      <w:r>
        <w:rPr>
          <w:rFonts w:ascii="Times New Roman" w:hAnsi="Times New Roman"/>
          <w:sz w:val="24"/>
          <w:szCs w:val="24"/>
        </w:rPr>
        <w:t>supplier</w:t>
      </w:r>
      <w:r w:rsidRPr="009C72D0">
        <w:rPr>
          <w:rFonts w:ascii="Times New Roman" w:hAnsi="Times New Roman"/>
          <w:sz w:val="24"/>
          <w:szCs w:val="24"/>
        </w:rPr>
        <w:t xml:space="preserve"> dapat dinilai dari kesanggupan </w:t>
      </w:r>
      <w:r>
        <w:rPr>
          <w:rFonts w:ascii="Times New Roman" w:hAnsi="Times New Roman"/>
          <w:sz w:val="24"/>
          <w:szCs w:val="24"/>
        </w:rPr>
        <w:t>supplier</w:t>
      </w:r>
      <w:r w:rsidRPr="009C72D0">
        <w:rPr>
          <w:rFonts w:ascii="Times New Roman" w:hAnsi="Times New Roman"/>
          <w:sz w:val="24"/>
          <w:szCs w:val="24"/>
        </w:rPr>
        <w:t xml:space="preserve"> untuk dapat memenuhi permintaan dan kebutuhan PT. Igasar  terhadap penambahan jumlah pembelian batu mangga yang telah disepakati dengan tidak merubah harga per unit dan waktu pengirimannya.</w:t>
      </w:r>
    </w:p>
    <w:p w:rsidR="0028345D" w:rsidRPr="003F7AB0" w:rsidRDefault="0028345D" w:rsidP="0028345D">
      <w:pPr>
        <w:pStyle w:val="ListParagraph"/>
        <w:numPr>
          <w:ilvl w:val="0"/>
          <w:numId w:val="6"/>
        </w:numPr>
        <w:spacing w:after="0" w:line="240" w:lineRule="auto"/>
        <w:ind w:left="426"/>
        <w:contextualSpacing/>
        <w:jc w:val="both"/>
        <w:rPr>
          <w:rFonts w:ascii="Times New Roman" w:hAnsi="Times New Roman"/>
          <w:i/>
          <w:sz w:val="24"/>
          <w:szCs w:val="24"/>
        </w:rPr>
      </w:pPr>
      <w:r>
        <w:rPr>
          <w:rFonts w:ascii="Times New Roman" w:hAnsi="Times New Roman"/>
          <w:i/>
          <w:sz w:val="24"/>
          <w:szCs w:val="24"/>
        </w:rPr>
        <w:t>Responsivene</w:t>
      </w:r>
      <w:r>
        <w:rPr>
          <w:rFonts w:ascii="Times New Roman" w:hAnsi="Times New Roman"/>
          <w:i/>
          <w:sz w:val="24"/>
          <w:szCs w:val="24"/>
          <w:lang w:val="en-US"/>
        </w:rPr>
        <w:t>s</w:t>
      </w:r>
      <w:r w:rsidRPr="003F7AB0">
        <w:rPr>
          <w:rFonts w:ascii="Times New Roman" w:hAnsi="Times New Roman"/>
          <w:i/>
          <w:sz w:val="24"/>
          <w:szCs w:val="24"/>
        </w:rPr>
        <w:t xml:space="preserve">s </w:t>
      </w:r>
    </w:p>
    <w:p w:rsidR="0028345D" w:rsidRPr="009C72D0" w:rsidRDefault="0028345D" w:rsidP="0028345D">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Kriteria ini menilai </w:t>
      </w:r>
      <w:r>
        <w:rPr>
          <w:rFonts w:ascii="Times New Roman" w:hAnsi="Times New Roman"/>
          <w:sz w:val="24"/>
          <w:szCs w:val="24"/>
        </w:rPr>
        <w:t>supplier</w:t>
      </w:r>
      <w:r w:rsidRPr="009C72D0">
        <w:rPr>
          <w:rFonts w:ascii="Times New Roman" w:hAnsi="Times New Roman"/>
          <w:sz w:val="24"/>
          <w:szCs w:val="24"/>
        </w:rPr>
        <w:t xml:space="preserve"> dari segi kemampuan </w:t>
      </w:r>
      <w:r>
        <w:rPr>
          <w:rFonts w:ascii="Times New Roman" w:hAnsi="Times New Roman"/>
          <w:sz w:val="24"/>
          <w:szCs w:val="24"/>
        </w:rPr>
        <w:t>supplier</w:t>
      </w:r>
      <w:r w:rsidRPr="009C72D0">
        <w:rPr>
          <w:rFonts w:ascii="Times New Roman" w:hAnsi="Times New Roman"/>
          <w:sz w:val="24"/>
          <w:szCs w:val="24"/>
        </w:rPr>
        <w:t xml:space="preserve"> dalam merespon problem maupun permintaan. Merespon masalah dalam pengertian bagaimana </w:t>
      </w:r>
      <w:r>
        <w:rPr>
          <w:rFonts w:ascii="Times New Roman" w:hAnsi="Times New Roman"/>
          <w:sz w:val="24"/>
          <w:szCs w:val="24"/>
        </w:rPr>
        <w:t>supplier</w:t>
      </w:r>
      <w:r w:rsidRPr="009C72D0">
        <w:rPr>
          <w:rFonts w:ascii="Times New Roman" w:hAnsi="Times New Roman"/>
          <w:sz w:val="24"/>
          <w:szCs w:val="24"/>
        </w:rPr>
        <w:t xml:space="preserve"> menanggapi permasalahan-permasalahan yang dikeluhkan oleh perusahaan.</w:t>
      </w:r>
    </w:p>
    <w:p w:rsidR="0028345D" w:rsidRDefault="0028345D" w:rsidP="0028345D">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sidRPr="009C72D0">
        <w:rPr>
          <w:rFonts w:ascii="Times New Roman" w:hAnsi="Times New Roman"/>
          <w:sz w:val="24"/>
          <w:szCs w:val="24"/>
        </w:rPr>
        <w:t xml:space="preserve">Masalah yang sering dijumpai PT. Igasar terhadap barang-barang yang dipasok yang tidak sesuai dengan kriteria </w:t>
      </w:r>
      <w:r w:rsidRPr="009C72D0">
        <w:rPr>
          <w:rFonts w:ascii="Times New Roman" w:hAnsi="Times New Roman"/>
          <w:sz w:val="24"/>
          <w:szCs w:val="24"/>
        </w:rPr>
        <w:lastRenderedPageBreak/>
        <w:t xml:space="preserve">spesifikasi yang cocok terutama pada batu mangga dan mengembalikannya kembali ke </w:t>
      </w:r>
      <w:r>
        <w:rPr>
          <w:rFonts w:ascii="Times New Roman" w:hAnsi="Times New Roman"/>
          <w:sz w:val="24"/>
          <w:szCs w:val="24"/>
        </w:rPr>
        <w:t>supplier</w:t>
      </w:r>
      <w:r w:rsidRPr="009C72D0">
        <w:rPr>
          <w:rFonts w:ascii="Times New Roman" w:hAnsi="Times New Roman"/>
          <w:sz w:val="24"/>
          <w:szCs w:val="24"/>
        </w:rPr>
        <w:t xml:space="preserve"> agar diganti dengan barang yang diminta sesuai spesifikasi.</w:t>
      </w:r>
    </w:p>
    <w:p w:rsidR="0028345D" w:rsidRPr="00EE0553" w:rsidRDefault="0028345D" w:rsidP="0028345D">
      <w:pPr>
        <w:pStyle w:val="ListParagraph"/>
        <w:spacing w:after="0" w:line="240" w:lineRule="auto"/>
        <w:ind w:left="0" w:firstLine="720"/>
        <w:jc w:val="both"/>
        <w:rPr>
          <w:rFonts w:ascii="Times New Roman" w:hAnsi="Times New Roman"/>
          <w:sz w:val="24"/>
          <w:szCs w:val="24"/>
          <w:lang w:val="en-US"/>
        </w:rPr>
      </w:pPr>
    </w:p>
    <w:p w:rsidR="00821AF4" w:rsidRDefault="00821AF4" w:rsidP="0028345D">
      <w:pPr>
        <w:contextualSpacing/>
        <w:jc w:val="both"/>
        <w:rPr>
          <w:b/>
          <w:i/>
          <w:lang w:val="en-US"/>
        </w:rPr>
      </w:pPr>
    </w:p>
    <w:p w:rsidR="00821AF4" w:rsidRDefault="00821AF4" w:rsidP="0028345D">
      <w:pPr>
        <w:contextualSpacing/>
        <w:jc w:val="both"/>
        <w:rPr>
          <w:b/>
          <w:i/>
          <w:lang w:val="en-US"/>
        </w:rPr>
      </w:pPr>
    </w:p>
    <w:p w:rsidR="00821AF4" w:rsidRDefault="00821AF4" w:rsidP="0028345D">
      <w:pPr>
        <w:contextualSpacing/>
        <w:jc w:val="both"/>
        <w:rPr>
          <w:b/>
          <w:i/>
          <w:lang w:val="en-US"/>
        </w:rPr>
      </w:pPr>
    </w:p>
    <w:p w:rsidR="0028345D" w:rsidRPr="00961E4A" w:rsidRDefault="0028345D" w:rsidP="0028345D">
      <w:pPr>
        <w:contextualSpacing/>
        <w:jc w:val="both"/>
        <w:rPr>
          <w:b/>
          <w:i/>
          <w:lang w:val="en-US"/>
        </w:rPr>
      </w:pPr>
      <w:r w:rsidRPr="00961E4A">
        <w:rPr>
          <w:b/>
          <w:i/>
        </w:rPr>
        <w:lastRenderedPageBreak/>
        <w:t>Pemecahan Masalah Penetapan Kriteria Pemilihan Supplier</w:t>
      </w:r>
    </w:p>
    <w:p w:rsidR="00B34426" w:rsidRDefault="0028345D" w:rsidP="00821AF4">
      <w:pPr>
        <w:ind w:firstLine="426"/>
        <w:jc w:val="both"/>
        <w:rPr>
          <w:lang w:val="en-US"/>
        </w:rPr>
      </w:pPr>
      <w:r w:rsidRPr="009C72D0">
        <w:t xml:space="preserve">Pembagian dari masing-masing indikator Q, C, F, D, R ditunjukan pada tabel </w:t>
      </w:r>
      <w:r>
        <w:t xml:space="preserve">1 </w:t>
      </w:r>
      <w:r w:rsidRPr="009C72D0">
        <w:t>dibawah ini :</w:t>
      </w:r>
    </w:p>
    <w:p w:rsidR="00B34426" w:rsidRPr="00B34426" w:rsidRDefault="00B34426" w:rsidP="0028345D">
      <w:pPr>
        <w:ind w:firstLine="426"/>
        <w:jc w:val="both"/>
        <w:rPr>
          <w:lang w:val="en-US"/>
        </w:rPr>
      </w:pPr>
    </w:p>
    <w:p w:rsidR="0028345D" w:rsidRDefault="0028345D" w:rsidP="0028345D">
      <w:pPr>
        <w:pStyle w:val="Default"/>
        <w:ind w:hanging="1021"/>
        <w:jc w:val="both"/>
        <w:rPr>
          <w:lang w:val="sv-SE"/>
        </w:rPr>
      </w:pPr>
    </w:p>
    <w:p w:rsidR="0028345D" w:rsidRDefault="0028345D" w:rsidP="00B34426">
      <w:pPr>
        <w:pStyle w:val="Default"/>
        <w:jc w:val="both"/>
        <w:rPr>
          <w:lang w:val="sv-SE"/>
        </w:rPr>
        <w:sectPr w:rsidR="0028345D" w:rsidSect="00AC0A17">
          <w:type w:val="continuous"/>
          <w:pgSz w:w="11907" w:h="16839" w:code="9"/>
          <w:pgMar w:top="1418" w:right="1418" w:bottom="1418" w:left="1701" w:header="680" w:footer="567" w:gutter="0"/>
          <w:cols w:num="2" w:space="720"/>
          <w:docGrid w:linePitch="360"/>
        </w:sectPr>
      </w:pPr>
    </w:p>
    <w:p w:rsidR="0028345D" w:rsidRDefault="0028345D" w:rsidP="0028345D">
      <w:pPr>
        <w:spacing w:line="360" w:lineRule="auto"/>
        <w:jc w:val="center"/>
        <w:rPr>
          <w:b/>
          <w:sz w:val="22"/>
          <w:lang w:val="en-US"/>
        </w:rPr>
      </w:pPr>
    </w:p>
    <w:p w:rsidR="0028345D" w:rsidRPr="00B34426" w:rsidRDefault="0028345D" w:rsidP="0028345D">
      <w:pPr>
        <w:spacing w:line="360" w:lineRule="auto"/>
        <w:jc w:val="center"/>
        <w:rPr>
          <w:sz w:val="20"/>
        </w:rPr>
      </w:pPr>
      <w:r w:rsidRPr="00B34426">
        <w:rPr>
          <w:b/>
          <w:sz w:val="20"/>
        </w:rPr>
        <w:t>Tabel 1.</w:t>
      </w:r>
      <w:r w:rsidRPr="00B34426">
        <w:rPr>
          <w:sz w:val="20"/>
        </w:rPr>
        <w:t xml:space="preserve">  Indikator Kriteria </w:t>
      </w:r>
      <w:r w:rsidRPr="00B34426">
        <w:rPr>
          <w:i/>
          <w:sz w:val="20"/>
        </w:rPr>
        <w:t>Supplier</w:t>
      </w:r>
    </w:p>
    <w:tbl>
      <w:tblPr>
        <w:tblW w:w="8665"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870"/>
        <w:gridCol w:w="1541"/>
        <w:gridCol w:w="6254"/>
      </w:tblGrid>
      <w:tr w:rsidR="0028345D" w:rsidRPr="007C7CD6" w:rsidTr="00C37D6C">
        <w:trPr>
          <w:trHeight w:val="487"/>
          <w:jc w:val="center"/>
        </w:trPr>
        <w:tc>
          <w:tcPr>
            <w:tcW w:w="870" w:type="dxa"/>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No</w:t>
            </w:r>
          </w:p>
        </w:tc>
        <w:tc>
          <w:tcPr>
            <w:tcW w:w="1541" w:type="dxa"/>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Kriteria</w:t>
            </w:r>
          </w:p>
        </w:tc>
        <w:tc>
          <w:tcPr>
            <w:tcW w:w="6254" w:type="dxa"/>
            <w:tcBorders>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Indikator Kriteria Supplier (IKP)</w:t>
            </w:r>
          </w:p>
        </w:tc>
      </w:tr>
      <w:tr w:rsidR="0028345D" w:rsidRPr="007C7CD6" w:rsidTr="00C37D6C">
        <w:trPr>
          <w:trHeight w:val="348"/>
          <w:jc w:val="center"/>
        </w:trPr>
        <w:tc>
          <w:tcPr>
            <w:tcW w:w="870" w:type="dxa"/>
            <w:vMerge w:val="restart"/>
            <w:shd w:val="clear" w:color="auto" w:fill="auto"/>
            <w:noWrap/>
            <w:vAlign w:val="center"/>
            <w:hideMark/>
          </w:tcPr>
          <w:p w:rsidR="0028345D" w:rsidRPr="007C7CD6" w:rsidRDefault="0028345D" w:rsidP="00C37D6C">
            <w:pPr>
              <w:jc w:val="center"/>
              <w:rPr>
                <w:color w:val="000000"/>
                <w:sz w:val="20"/>
                <w:szCs w:val="20"/>
                <w:lang w:eastAsia="id-ID"/>
              </w:rPr>
            </w:pPr>
            <w:r w:rsidRPr="007C7CD6">
              <w:rPr>
                <w:color w:val="000000"/>
                <w:sz w:val="20"/>
                <w:szCs w:val="20"/>
                <w:lang w:eastAsia="id-ID"/>
              </w:rPr>
              <w:t>1</w:t>
            </w:r>
          </w:p>
        </w:tc>
        <w:tc>
          <w:tcPr>
            <w:tcW w:w="1541" w:type="dxa"/>
            <w:vMerge w:val="restart"/>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Quality</w:t>
            </w:r>
          </w:p>
        </w:tc>
        <w:tc>
          <w:tcPr>
            <w:tcW w:w="6254" w:type="dxa"/>
            <w:tcBorders>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(IKP1) ketepatan jenis bahan yang dikirimkan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(IKP2) ketepatan ukuran</w:t>
            </w:r>
          </w:p>
        </w:tc>
      </w:tr>
      <w:tr w:rsidR="0028345D" w:rsidRPr="007C7CD6" w:rsidTr="00C37D6C">
        <w:trPr>
          <w:trHeight w:val="348"/>
          <w:jc w:val="center"/>
        </w:trPr>
        <w:tc>
          <w:tcPr>
            <w:tcW w:w="870" w:type="dxa"/>
            <w:vMerge w:val="restart"/>
            <w:shd w:val="clear" w:color="auto" w:fill="auto"/>
            <w:noWrap/>
            <w:vAlign w:val="center"/>
            <w:hideMark/>
          </w:tcPr>
          <w:p w:rsidR="0028345D" w:rsidRPr="007C7CD6" w:rsidRDefault="0028345D" w:rsidP="00C37D6C">
            <w:pPr>
              <w:jc w:val="center"/>
              <w:rPr>
                <w:color w:val="000000"/>
                <w:sz w:val="20"/>
                <w:szCs w:val="20"/>
                <w:lang w:eastAsia="id-ID"/>
              </w:rPr>
            </w:pPr>
            <w:r w:rsidRPr="007C7CD6">
              <w:rPr>
                <w:color w:val="000000"/>
                <w:sz w:val="20"/>
                <w:szCs w:val="20"/>
                <w:lang w:eastAsia="id-ID"/>
              </w:rPr>
              <w:t>2</w:t>
            </w:r>
          </w:p>
        </w:tc>
        <w:tc>
          <w:tcPr>
            <w:tcW w:w="1541" w:type="dxa"/>
            <w:vMerge w:val="restart"/>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Cost</w:t>
            </w:r>
          </w:p>
        </w:tc>
        <w:tc>
          <w:tcPr>
            <w:tcW w:w="6254" w:type="dxa"/>
            <w:tcBorders>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(IKP3) harga barang</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(IKP4) besaran potongan harga / diskon</w:t>
            </w:r>
          </w:p>
        </w:tc>
      </w:tr>
      <w:tr w:rsidR="0028345D" w:rsidRPr="007C7CD6" w:rsidTr="00C37D6C">
        <w:trPr>
          <w:trHeight w:val="348"/>
          <w:jc w:val="center"/>
        </w:trPr>
        <w:tc>
          <w:tcPr>
            <w:tcW w:w="870" w:type="dxa"/>
            <w:vMerge w:val="restart"/>
            <w:shd w:val="clear" w:color="auto" w:fill="auto"/>
            <w:noWrap/>
            <w:vAlign w:val="center"/>
            <w:hideMark/>
          </w:tcPr>
          <w:p w:rsidR="0028345D" w:rsidRPr="007C7CD6" w:rsidRDefault="0028345D" w:rsidP="00C37D6C">
            <w:pPr>
              <w:jc w:val="center"/>
              <w:rPr>
                <w:color w:val="000000"/>
                <w:sz w:val="20"/>
                <w:szCs w:val="20"/>
                <w:lang w:eastAsia="id-ID"/>
              </w:rPr>
            </w:pPr>
            <w:r w:rsidRPr="007C7CD6">
              <w:rPr>
                <w:color w:val="000000"/>
                <w:sz w:val="20"/>
                <w:szCs w:val="20"/>
                <w:lang w:eastAsia="id-ID"/>
              </w:rPr>
              <w:t>3</w:t>
            </w:r>
          </w:p>
        </w:tc>
        <w:tc>
          <w:tcPr>
            <w:tcW w:w="1541" w:type="dxa"/>
            <w:vMerge w:val="restart"/>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Delivery</w:t>
            </w:r>
          </w:p>
        </w:tc>
        <w:tc>
          <w:tcPr>
            <w:tcW w:w="6254" w:type="dxa"/>
            <w:tcBorders>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(IKP5) Ketepatan kuantitas barang yang dikirimkan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(IKP6) ketepatan waktu pengiriman</w:t>
            </w:r>
          </w:p>
        </w:tc>
      </w:tr>
      <w:tr w:rsidR="0028345D" w:rsidRPr="007C7CD6" w:rsidTr="00C37D6C">
        <w:trPr>
          <w:trHeight w:val="348"/>
          <w:jc w:val="center"/>
        </w:trPr>
        <w:tc>
          <w:tcPr>
            <w:tcW w:w="870" w:type="dxa"/>
            <w:vMerge w:val="restart"/>
            <w:shd w:val="clear" w:color="auto" w:fill="auto"/>
            <w:noWrap/>
            <w:vAlign w:val="center"/>
            <w:hideMark/>
          </w:tcPr>
          <w:p w:rsidR="0028345D" w:rsidRPr="007C7CD6" w:rsidRDefault="0028345D" w:rsidP="00C37D6C">
            <w:pPr>
              <w:jc w:val="center"/>
              <w:rPr>
                <w:color w:val="000000"/>
                <w:sz w:val="20"/>
                <w:szCs w:val="20"/>
                <w:lang w:eastAsia="id-ID"/>
              </w:rPr>
            </w:pPr>
            <w:r w:rsidRPr="007C7CD6">
              <w:rPr>
                <w:color w:val="000000"/>
                <w:sz w:val="20"/>
                <w:szCs w:val="20"/>
                <w:lang w:eastAsia="id-ID"/>
              </w:rPr>
              <w:t>4</w:t>
            </w:r>
          </w:p>
        </w:tc>
        <w:tc>
          <w:tcPr>
            <w:tcW w:w="1541" w:type="dxa"/>
            <w:vMerge w:val="restart"/>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Flexibility</w:t>
            </w:r>
          </w:p>
        </w:tc>
        <w:tc>
          <w:tcPr>
            <w:tcW w:w="6254" w:type="dxa"/>
            <w:tcBorders>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(IKP7) Dipenuhinya perubahan jumlah material yang dipesan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(IKP8) Dipenuhinya perubahan waktu pengiriman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(IKP9) Dipenuhinya penggantian material yang tidak sesuai</w:t>
            </w:r>
          </w:p>
        </w:tc>
      </w:tr>
      <w:tr w:rsidR="0028345D" w:rsidRPr="007C7CD6" w:rsidTr="00C37D6C">
        <w:trPr>
          <w:trHeight w:val="348"/>
          <w:jc w:val="center"/>
        </w:trPr>
        <w:tc>
          <w:tcPr>
            <w:tcW w:w="870" w:type="dxa"/>
            <w:vMerge w:val="restart"/>
            <w:shd w:val="clear" w:color="auto" w:fill="auto"/>
            <w:noWrap/>
            <w:vAlign w:val="center"/>
            <w:hideMark/>
          </w:tcPr>
          <w:p w:rsidR="0028345D" w:rsidRPr="007C7CD6" w:rsidRDefault="0028345D" w:rsidP="00C37D6C">
            <w:pPr>
              <w:jc w:val="center"/>
              <w:rPr>
                <w:color w:val="000000"/>
                <w:sz w:val="20"/>
                <w:szCs w:val="20"/>
                <w:lang w:eastAsia="id-ID"/>
              </w:rPr>
            </w:pPr>
            <w:r w:rsidRPr="007C7CD6">
              <w:rPr>
                <w:color w:val="000000"/>
                <w:sz w:val="20"/>
                <w:szCs w:val="20"/>
                <w:lang w:eastAsia="id-ID"/>
              </w:rPr>
              <w:t>5</w:t>
            </w:r>
          </w:p>
        </w:tc>
        <w:tc>
          <w:tcPr>
            <w:tcW w:w="1541" w:type="dxa"/>
            <w:vMerge w:val="restart"/>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Responsive</w:t>
            </w:r>
            <w:r>
              <w:rPr>
                <w:i/>
                <w:color w:val="000000"/>
                <w:sz w:val="20"/>
                <w:szCs w:val="20"/>
                <w:lang w:eastAsia="id-ID"/>
              </w:rPr>
              <w:t>ness</w:t>
            </w:r>
          </w:p>
        </w:tc>
        <w:tc>
          <w:tcPr>
            <w:tcW w:w="6254" w:type="dxa"/>
            <w:tcBorders>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 xml:space="preserve">(IKP10) </w:t>
            </w:r>
            <w:r>
              <w:rPr>
                <w:color w:val="000000"/>
                <w:sz w:val="20"/>
                <w:szCs w:val="20"/>
                <w:lang w:eastAsia="id-ID"/>
              </w:rPr>
              <w:t>Supplier</w:t>
            </w:r>
            <w:r w:rsidRPr="007C7CD6">
              <w:rPr>
                <w:color w:val="000000"/>
                <w:sz w:val="20"/>
                <w:szCs w:val="20"/>
                <w:lang w:eastAsia="id-ID"/>
              </w:rPr>
              <w:t xml:space="preserve"> merespon masalah/keluhan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 xml:space="preserve">(IKP11) </w:t>
            </w:r>
            <w:r>
              <w:rPr>
                <w:color w:val="000000"/>
                <w:sz w:val="20"/>
                <w:szCs w:val="20"/>
                <w:lang w:eastAsia="id-ID"/>
              </w:rPr>
              <w:t>Supplier</w:t>
            </w:r>
            <w:r w:rsidRPr="007C7CD6">
              <w:rPr>
                <w:color w:val="000000"/>
                <w:sz w:val="20"/>
                <w:szCs w:val="20"/>
                <w:lang w:eastAsia="id-ID"/>
              </w:rPr>
              <w:t xml:space="preserve"> merespon perubahan jumlah permintaan</w:t>
            </w:r>
          </w:p>
        </w:tc>
      </w:tr>
      <w:tr w:rsidR="0028345D" w:rsidRPr="007C7CD6" w:rsidTr="00C37D6C">
        <w:trPr>
          <w:trHeight w:val="348"/>
          <w:jc w:val="center"/>
        </w:trPr>
        <w:tc>
          <w:tcPr>
            <w:tcW w:w="870" w:type="dxa"/>
            <w:vMerge/>
            <w:vAlign w:val="center"/>
            <w:hideMark/>
          </w:tcPr>
          <w:p w:rsidR="0028345D" w:rsidRPr="007C7CD6" w:rsidRDefault="0028345D" w:rsidP="00C37D6C">
            <w:pPr>
              <w:rPr>
                <w:color w:val="000000"/>
                <w:sz w:val="20"/>
                <w:szCs w:val="20"/>
                <w:lang w:eastAsia="id-ID"/>
              </w:rPr>
            </w:pPr>
          </w:p>
        </w:tc>
        <w:tc>
          <w:tcPr>
            <w:tcW w:w="1541" w:type="dxa"/>
            <w:vMerge/>
            <w:vAlign w:val="center"/>
            <w:hideMark/>
          </w:tcPr>
          <w:p w:rsidR="0028345D" w:rsidRPr="007C7CD6" w:rsidRDefault="0028345D" w:rsidP="00C37D6C">
            <w:pPr>
              <w:rPr>
                <w:color w:val="000000"/>
                <w:sz w:val="20"/>
                <w:szCs w:val="20"/>
                <w:lang w:eastAsia="id-ID"/>
              </w:rPr>
            </w:pPr>
          </w:p>
        </w:tc>
        <w:tc>
          <w:tcPr>
            <w:tcW w:w="6254"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 xml:space="preserve">(IKP12) </w:t>
            </w:r>
            <w:r>
              <w:rPr>
                <w:color w:val="000000"/>
                <w:sz w:val="20"/>
                <w:szCs w:val="20"/>
                <w:lang w:eastAsia="id-ID"/>
              </w:rPr>
              <w:t>Supplier</w:t>
            </w:r>
            <w:r w:rsidRPr="007C7CD6">
              <w:rPr>
                <w:color w:val="000000"/>
                <w:sz w:val="20"/>
                <w:szCs w:val="20"/>
                <w:lang w:eastAsia="id-ID"/>
              </w:rPr>
              <w:t xml:space="preserve"> merespon perubahan jadwal pengiriman</w:t>
            </w:r>
          </w:p>
        </w:tc>
      </w:tr>
    </w:tbl>
    <w:p w:rsidR="0028345D" w:rsidRDefault="0028345D" w:rsidP="0028345D">
      <w:pPr>
        <w:spacing w:line="360" w:lineRule="auto"/>
        <w:ind w:left="284"/>
        <w:jc w:val="both"/>
        <w:rPr>
          <w:i/>
          <w:sz w:val="20"/>
          <w:lang w:val="en-US"/>
        </w:rPr>
      </w:pPr>
      <w:r w:rsidRPr="0028345D">
        <w:rPr>
          <w:i/>
          <w:sz w:val="20"/>
        </w:rPr>
        <w:t>Sumber : Diolah sendiri, 2015</w:t>
      </w:r>
    </w:p>
    <w:p w:rsidR="00B34426" w:rsidRPr="00B34426" w:rsidRDefault="00B34426" w:rsidP="0028345D">
      <w:pPr>
        <w:spacing w:line="360" w:lineRule="auto"/>
        <w:ind w:left="284"/>
        <w:jc w:val="both"/>
        <w:rPr>
          <w:i/>
          <w:sz w:val="20"/>
          <w:lang w:val="en-US"/>
        </w:rPr>
      </w:pPr>
    </w:p>
    <w:p w:rsidR="0028345D" w:rsidRPr="00961E4A" w:rsidRDefault="0028345D" w:rsidP="0028345D">
      <w:pPr>
        <w:jc w:val="center"/>
        <w:rPr>
          <w:sz w:val="22"/>
          <w:lang w:val="en-US"/>
        </w:rPr>
      </w:pPr>
      <w:r w:rsidRPr="00961E4A">
        <w:rPr>
          <w:b/>
          <w:sz w:val="22"/>
        </w:rPr>
        <w:t>Tabel 2.</w:t>
      </w:r>
      <w:r w:rsidRPr="00961E4A">
        <w:rPr>
          <w:sz w:val="22"/>
        </w:rPr>
        <w:t xml:space="preserve">  Pembobotan Indikator Kriteria Supplier</w:t>
      </w:r>
    </w:p>
    <w:tbl>
      <w:tblPr>
        <w:tblW w:w="8382" w:type="dxa"/>
        <w:jc w:val="center"/>
        <w:tblInd w:w="-18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31"/>
        <w:gridCol w:w="2118"/>
        <w:gridCol w:w="1271"/>
        <w:gridCol w:w="1062"/>
      </w:tblGrid>
      <w:tr w:rsidR="0028345D" w:rsidRPr="007C7CD6" w:rsidTr="00C37D6C">
        <w:trPr>
          <w:trHeight w:val="314"/>
          <w:jc w:val="center"/>
        </w:trPr>
        <w:tc>
          <w:tcPr>
            <w:tcW w:w="3931" w:type="dxa"/>
            <w:vMerge w:val="restart"/>
            <w:tcBorders>
              <w:top w:val="single" w:sz="4" w:space="0" w:color="auto"/>
              <w:left w:val="nil"/>
            </w:tcBorders>
            <w:shd w:val="clear" w:color="auto" w:fill="auto"/>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 xml:space="preserve">Pembobotan </w:t>
            </w:r>
            <w:r>
              <w:rPr>
                <w:color w:val="000000"/>
                <w:sz w:val="20"/>
                <w:szCs w:val="20"/>
                <w:lang w:eastAsia="id-ID"/>
              </w:rPr>
              <w:t>supplier</w:t>
            </w:r>
            <w:r w:rsidRPr="007C7CD6">
              <w:rPr>
                <w:color w:val="000000"/>
                <w:sz w:val="20"/>
                <w:szCs w:val="20"/>
                <w:lang w:eastAsia="id-ID"/>
              </w:rPr>
              <w:t xml:space="preserve"> ba</w:t>
            </w:r>
            <w:r>
              <w:rPr>
                <w:color w:val="000000"/>
                <w:sz w:val="20"/>
                <w:szCs w:val="20"/>
                <w:lang w:eastAsia="id-ID"/>
              </w:rPr>
              <w:t>tu mangga PT. Igasar</w:t>
            </w:r>
            <w:r w:rsidRPr="007C7CD6">
              <w:rPr>
                <w:color w:val="000000"/>
                <w:sz w:val="20"/>
                <w:szCs w:val="20"/>
                <w:lang w:eastAsia="id-ID"/>
              </w:rPr>
              <w:t xml:space="preserve">  1.00 (100%)</w:t>
            </w:r>
          </w:p>
        </w:tc>
        <w:tc>
          <w:tcPr>
            <w:tcW w:w="2118" w:type="dxa"/>
            <w:vMerge w:val="restart"/>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3F7AB0">
              <w:rPr>
                <w:i/>
                <w:color w:val="000000"/>
                <w:sz w:val="20"/>
                <w:szCs w:val="20"/>
                <w:lang w:eastAsia="id-ID"/>
              </w:rPr>
              <w:t>Quality</w:t>
            </w:r>
            <w:r w:rsidRPr="007C7CD6">
              <w:rPr>
                <w:color w:val="000000"/>
                <w:sz w:val="20"/>
                <w:szCs w:val="20"/>
                <w:lang w:eastAsia="id-ID"/>
              </w:rPr>
              <w:t xml:space="preserve"> (0,5)</w:t>
            </w:r>
          </w:p>
        </w:tc>
        <w:tc>
          <w:tcPr>
            <w:tcW w:w="1271" w:type="dxa"/>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1</w:t>
            </w:r>
          </w:p>
        </w:tc>
        <w:tc>
          <w:tcPr>
            <w:tcW w:w="1062" w:type="dxa"/>
            <w:tcBorders>
              <w:top w:val="single" w:sz="4" w:space="0" w:color="auto"/>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0,25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127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2</w:t>
            </w:r>
          </w:p>
        </w:tc>
        <w:tc>
          <w:tcPr>
            <w:tcW w:w="1062" w:type="dxa"/>
            <w:tcBorders>
              <w:top w:val="nil"/>
              <w:bottom w:val="single" w:sz="4" w:space="0" w:color="auto"/>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0,25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val="restart"/>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3F7AB0">
              <w:rPr>
                <w:i/>
                <w:color w:val="000000"/>
                <w:sz w:val="20"/>
                <w:szCs w:val="20"/>
                <w:lang w:eastAsia="id-ID"/>
              </w:rPr>
              <w:t xml:space="preserve">Cost </w:t>
            </w:r>
            <w:r w:rsidRPr="007C7CD6">
              <w:rPr>
                <w:color w:val="000000"/>
                <w:sz w:val="20"/>
                <w:szCs w:val="20"/>
                <w:lang w:eastAsia="id-ID"/>
              </w:rPr>
              <w:t>(0,2)</w:t>
            </w:r>
          </w:p>
        </w:tc>
        <w:tc>
          <w:tcPr>
            <w:tcW w:w="1271" w:type="dxa"/>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3</w:t>
            </w:r>
          </w:p>
        </w:tc>
        <w:tc>
          <w:tcPr>
            <w:tcW w:w="1062" w:type="dxa"/>
            <w:tcBorders>
              <w:top w:val="single" w:sz="4" w:space="0" w:color="auto"/>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0,15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127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4</w:t>
            </w:r>
          </w:p>
        </w:tc>
        <w:tc>
          <w:tcPr>
            <w:tcW w:w="1062" w:type="dxa"/>
            <w:tcBorders>
              <w:top w:val="nil"/>
              <w:bottom w:val="single" w:sz="4" w:space="0" w:color="auto"/>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val="restart"/>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3F7AB0">
              <w:rPr>
                <w:i/>
                <w:color w:val="000000"/>
                <w:sz w:val="20"/>
                <w:szCs w:val="20"/>
                <w:lang w:eastAsia="id-ID"/>
              </w:rPr>
              <w:t>Delivery</w:t>
            </w:r>
            <w:r w:rsidRPr="007C7CD6">
              <w:rPr>
                <w:color w:val="000000"/>
                <w:sz w:val="20"/>
                <w:szCs w:val="20"/>
                <w:lang w:eastAsia="id-ID"/>
              </w:rPr>
              <w:t xml:space="preserve"> (0,1)</w:t>
            </w:r>
          </w:p>
        </w:tc>
        <w:tc>
          <w:tcPr>
            <w:tcW w:w="1271" w:type="dxa"/>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5</w:t>
            </w:r>
          </w:p>
        </w:tc>
        <w:tc>
          <w:tcPr>
            <w:tcW w:w="1062" w:type="dxa"/>
            <w:tcBorders>
              <w:top w:val="single" w:sz="4" w:space="0" w:color="auto"/>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127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6</w:t>
            </w:r>
          </w:p>
        </w:tc>
        <w:tc>
          <w:tcPr>
            <w:tcW w:w="1062" w:type="dxa"/>
            <w:tcBorders>
              <w:top w:val="nil"/>
              <w:bottom w:val="single" w:sz="4" w:space="0" w:color="auto"/>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val="restart"/>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3F7AB0">
              <w:rPr>
                <w:i/>
                <w:color w:val="000000"/>
                <w:sz w:val="20"/>
                <w:szCs w:val="20"/>
                <w:lang w:eastAsia="id-ID"/>
              </w:rPr>
              <w:t>Flexibility</w:t>
            </w:r>
            <w:r w:rsidRPr="007C7CD6">
              <w:rPr>
                <w:color w:val="000000"/>
                <w:sz w:val="20"/>
                <w:szCs w:val="20"/>
                <w:lang w:eastAsia="id-ID"/>
              </w:rPr>
              <w:t xml:space="preserve"> (0,1)</w:t>
            </w:r>
          </w:p>
        </w:tc>
        <w:tc>
          <w:tcPr>
            <w:tcW w:w="1271" w:type="dxa"/>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7</w:t>
            </w:r>
          </w:p>
        </w:tc>
        <w:tc>
          <w:tcPr>
            <w:tcW w:w="1062" w:type="dxa"/>
            <w:tcBorders>
              <w:top w:val="single" w:sz="4" w:space="0" w:color="auto"/>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0,03</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bottom w:val="nil"/>
            </w:tcBorders>
            <w:vAlign w:val="center"/>
            <w:hideMark/>
          </w:tcPr>
          <w:p w:rsidR="0028345D" w:rsidRPr="007C7CD6" w:rsidRDefault="0028345D" w:rsidP="00C37D6C">
            <w:pPr>
              <w:rPr>
                <w:color w:val="000000"/>
                <w:sz w:val="20"/>
                <w:szCs w:val="20"/>
                <w:lang w:eastAsia="id-ID"/>
              </w:rPr>
            </w:pPr>
          </w:p>
        </w:tc>
        <w:tc>
          <w:tcPr>
            <w:tcW w:w="1271" w:type="dxa"/>
            <w:tcBorders>
              <w:top w:val="nil"/>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8</w:t>
            </w:r>
          </w:p>
        </w:tc>
        <w:tc>
          <w:tcPr>
            <w:tcW w:w="1062" w:type="dxa"/>
            <w:tcBorders>
              <w:top w:val="nil"/>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0,03</w:t>
            </w:r>
          </w:p>
        </w:tc>
      </w:tr>
      <w:tr w:rsidR="0028345D" w:rsidRPr="007C7CD6" w:rsidTr="00C37D6C">
        <w:trPr>
          <w:trHeight w:val="314"/>
          <w:jc w:val="center"/>
        </w:trPr>
        <w:tc>
          <w:tcPr>
            <w:tcW w:w="3931" w:type="dxa"/>
            <w:vMerge/>
            <w:tcBorders>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127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9</w:t>
            </w:r>
          </w:p>
        </w:tc>
        <w:tc>
          <w:tcPr>
            <w:tcW w:w="1062" w:type="dxa"/>
            <w:tcBorders>
              <w:top w:val="nil"/>
              <w:bottom w:val="single" w:sz="4" w:space="0" w:color="auto"/>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314"/>
          <w:jc w:val="center"/>
        </w:trPr>
        <w:tc>
          <w:tcPr>
            <w:tcW w:w="3931" w:type="dxa"/>
            <w:vMerge/>
            <w:tcBorders>
              <w:left w:val="nil"/>
              <w:bottom w:val="nil"/>
            </w:tcBorders>
            <w:vAlign w:val="center"/>
            <w:hideMark/>
          </w:tcPr>
          <w:p w:rsidR="0028345D" w:rsidRPr="007C7CD6" w:rsidRDefault="0028345D" w:rsidP="00C37D6C">
            <w:pPr>
              <w:rPr>
                <w:color w:val="000000"/>
                <w:sz w:val="20"/>
                <w:szCs w:val="20"/>
                <w:lang w:eastAsia="id-ID"/>
              </w:rPr>
            </w:pPr>
          </w:p>
        </w:tc>
        <w:tc>
          <w:tcPr>
            <w:tcW w:w="2118" w:type="dxa"/>
            <w:vMerge w:val="restart"/>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3F7AB0">
              <w:rPr>
                <w:i/>
                <w:color w:val="000000"/>
                <w:sz w:val="20"/>
                <w:szCs w:val="20"/>
                <w:lang w:eastAsia="id-ID"/>
              </w:rPr>
              <w:t>Responsive</w:t>
            </w:r>
            <w:r>
              <w:rPr>
                <w:color w:val="000000"/>
                <w:sz w:val="20"/>
                <w:szCs w:val="20"/>
                <w:lang w:eastAsia="id-ID"/>
              </w:rPr>
              <w:t xml:space="preserve">ness </w:t>
            </w:r>
            <w:r w:rsidRPr="007C7CD6">
              <w:rPr>
                <w:color w:val="000000"/>
                <w:sz w:val="20"/>
                <w:szCs w:val="20"/>
                <w:lang w:eastAsia="id-ID"/>
              </w:rPr>
              <w:t>(0,1)</w:t>
            </w:r>
          </w:p>
        </w:tc>
        <w:tc>
          <w:tcPr>
            <w:tcW w:w="1271" w:type="dxa"/>
            <w:tcBorders>
              <w:top w:val="single" w:sz="4" w:space="0" w:color="auto"/>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10</w:t>
            </w:r>
          </w:p>
        </w:tc>
        <w:tc>
          <w:tcPr>
            <w:tcW w:w="1062" w:type="dxa"/>
            <w:tcBorders>
              <w:top w:val="single" w:sz="4" w:space="0" w:color="auto"/>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278"/>
          <w:jc w:val="center"/>
        </w:trPr>
        <w:tc>
          <w:tcPr>
            <w:tcW w:w="3931" w:type="dxa"/>
            <w:vMerge/>
            <w:tcBorders>
              <w:top w:val="nil"/>
              <w:left w:val="nil"/>
            </w:tcBorders>
            <w:vAlign w:val="center"/>
            <w:hideMark/>
          </w:tcPr>
          <w:p w:rsidR="0028345D" w:rsidRPr="007C7CD6" w:rsidRDefault="0028345D" w:rsidP="00C37D6C">
            <w:pPr>
              <w:rPr>
                <w:color w:val="000000"/>
                <w:sz w:val="20"/>
                <w:szCs w:val="20"/>
                <w:lang w:eastAsia="id-ID"/>
              </w:rPr>
            </w:pPr>
          </w:p>
        </w:tc>
        <w:tc>
          <w:tcPr>
            <w:tcW w:w="2118" w:type="dxa"/>
            <w:vMerge/>
            <w:tcBorders>
              <w:top w:val="nil"/>
              <w:right w:val="nil"/>
            </w:tcBorders>
            <w:vAlign w:val="center"/>
            <w:hideMark/>
          </w:tcPr>
          <w:p w:rsidR="0028345D" w:rsidRPr="007C7CD6" w:rsidRDefault="0028345D" w:rsidP="00C37D6C">
            <w:pPr>
              <w:rPr>
                <w:color w:val="000000"/>
                <w:sz w:val="20"/>
                <w:szCs w:val="20"/>
                <w:lang w:eastAsia="id-ID"/>
              </w:rPr>
            </w:pPr>
          </w:p>
        </w:tc>
        <w:tc>
          <w:tcPr>
            <w:tcW w:w="1271" w:type="dxa"/>
            <w:tcBorders>
              <w:top w:val="nil"/>
              <w:left w:val="nil"/>
              <w:bottom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11</w:t>
            </w:r>
          </w:p>
        </w:tc>
        <w:tc>
          <w:tcPr>
            <w:tcW w:w="1062" w:type="dxa"/>
            <w:tcBorders>
              <w:top w:val="nil"/>
              <w:bottom w:val="nil"/>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314"/>
          <w:jc w:val="center"/>
        </w:trPr>
        <w:tc>
          <w:tcPr>
            <w:tcW w:w="3931" w:type="dxa"/>
            <w:vMerge/>
            <w:tcBorders>
              <w:left w:val="nil"/>
              <w:bottom w:val="single" w:sz="4" w:space="0" w:color="auto"/>
            </w:tcBorders>
            <w:vAlign w:val="center"/>
            <w:hideMark/>
          </w:tcPr>
          <w:p w:rsidR="0028345D" w:rsidRPr="007C7CD6" w:rsidRDefault="0028345D" w:rsidP="00C37D6C">
            <w:pPr>
              <w:rPr>
                <w:color w:val="000000"/>
                <w:sz w:val="20"/>
                <w:szCs w:val="20"/>
                <w:lang w:eastAsia="id-ID"/>
              </w:rPr>
            </w:pPr>
          </w:p>
        </w:tc>
        <w:tc>
          <w:tcPr>
            <w:tcW w:w="2118" w:type="dxa"/>
            <w:vMerge/>
            <w:tcBorders>
              <w:bottom w:val="single" w:sz="4" w:space="0" w:color="auto"/>
              <w:right w:val="nil"/>
            </w:tcBorders>
            <w:vAlign w:val="center"/>
            <w:hideMark/>
          </w:tcPr>
          <w:p w:rsidR="0028345D" w:rsidRPr="007C7CD6" w:rsidRDefault="0028345D" w:rsidP="00C37D6C">
            <w:pPr>
              <w:rPr>
                <w:color w:val="000000"/>
                <w:sz w:val="20"/>
                <w:szCs w:val="20"/>
                <w:lang w:eastAsia="id-ID"/>
              </w:rPr>
            </w:pPr>
          </w:p>
        </w:tc>
        <w:tc>
          <w:tcPr>
            <w:tcW w:w="1271" w:type="dxa"/>
            <w:tcBorders>
              <w:top w:val="nil"/>
              <w:left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IKP 12</w:t>
            </w:r>
          </w:p>
        </w:tc>
        <w:tc>
          <w:tcPr>
            <w:tcW w:w="1062" w:type="dxa"/>
            <w:tcBorders>
              <w:top w:val="nil"/>
              <w:bottom w:val="single" w:sz="4" w:space="0" w:color="auto"/>
              <w:right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0,02</w:t>
            </w:r>
          </w:p>
        </w:tc>
      </w:tr>
    </w:tbl>
    <w:p w:rsidR="0028345D" w:rsidRDefault="0028345D" w:rsidP="00B34426">
      <w:pPr>
        <w:spacing w:line="360" w:lineRule="auto"/>
        <w:ind w:left="284"/>
        <w:rPr>
          <w:i/>
          <w:sz w:val="20"/>
          <w:lang w:val="en-US"/>
        </w:rPr>
      </w:pPr>
      <w:r w:rsidRPr="0028345D">
        <w:rPr>
          <w:i/>
          <w:sz w:val="20"/>
        </w:rPr>
        <w:t>Sumber : Data Hasil Wawancara &amp; Observasi, 2015</w:t>
      </w:r>
    </w:p>
    <w:p w:rsidR="00B34426" w:rsidRDefault="00B34426" w:rsidP="00B34426">
      <w:pPr>
        <w:spacing w:line="360" w:lineRule="auto"/>
        <w:ind w:left="284"/>
        <w:rPr>
          <w:i/>
          <w:sz w:val="20"/>
          <w:lang w:val="en-US"/>
        </w:rPr>
      </w:pPr>
    </w:p>
    <w:p w:rsidR="00B34426" w:rsidRDefault="00B34426" w:rsidP="00B34426">
      <w:pPr>
        <w:spacing w:line="360" w:lineRule="auto"/>
        <w:ind w:left="284"/>
        <w:rPr>
          <w:i/>
          <w:sz w:val="20"/>
          <w:lang w:val="en-US"/>
        </w:rPr>
        <w:sectPr w:rsidR="00B34426" w:rsidSect="00AC0A17">
          <w:type w:val="continuous"/>
          <w:pgSz w:w="11907" w:h="16839" w:code="9"/>
          <w:pgMar w:top="1418" w:right="1418" w:bottom="1418" w:left="1701" w:header="680" w:footer="567" w:gutter="0"/>
          <w:pgNumType w:start="22"/>
          <w:cols w:space="720"/>
          <w:docGrid w:linePitch="360"/>
        </w:sectPr>
      </w:pPr>
    </w:p>
    <w:p w:rsidR="0028345D" w:rsidRDefault="0028345D" w:rsidP="0028345D">
      <w:pPr>
        <w:pStyle w:val="Default"/>
        <w:jc w:val="both"/>
      </w:pPr>
      <w:proofErr w:type="spellStart"/>
      <w:proofErr w:type="gramStart"/>
      <w:r>
        <w:lastRenderedPageBreak/>
        <w:t>Tabel</w:t>
      </w:r>
      <w:proofErr w:type="spellEnd"/>
      <w:r>
        <w:t xml:space="preserve"> 2 </w:t>
      </w:r>
      <w:proofErr w:type="spellStart"/>
      <w:r>
        <w:t>diatas</w:t>
      </w:r>
      <w:proofErr w:type="spellEnd"/>
      <w:r>
        <w:t xml:space="preserve"> </w:t>
      </w:r>
      <w:proofErr w:type="spellStart"/>
      <w:r>
        <w:t>menunjukan</w:t>
      </w:r>
      <w:proofErr w:type="spellEnd"/>
      <w:r>
        <w:t xml:space="preserve"> </w:t>
      </w:r>
      <w:proofErr w:type="spellStart"/>
      <w:r>
        <w:t>hasil</w:t>
      </w:r>
      <w:proofErr w:type="spellEnd"/>
      <w:r>
        <w:t xml:space="preserve"> </w:t>
      </w:r>
      <w:proofErr w:type="spellStart"/>
      <w:r w:rsidRPr="009C72D0">
        <w:t>pembobotan</w:t>
      </w:r>
      <w:proofErr w:type="spellEnd"/>
      <w:r w:rsidRPr="009C72D0">
        <w:t xml:space="preserve"> </w:t>
      </w:r>
      <w:proofErr w:type="spellStart"/>
      <w:r w:rsidRPr="009C72D0">
        <w:t>dari</w:t>
      </w:r>
      <w:proofErr w:type="spellEnd"/>
      <w:r w:rsidRPr="009C72D0">
        <w:t xml:space="preserve"> </w:t>
      </w:r>
      <w:proofErr w:type="spellStart"/>
      <w:r w:rsidRPr="009C72D0">
        <w:t>masing-masing</w:t>
      </w:r>
      <w:proofErr w:type="spellEnd"/>
      <w:r w:rsidRPr="009C72D0">
        <w:t xml:space="preserve"> </w:t>
      </w:r>
      <w:proofErr w:type="spellStart"/>
      <w:r w:rsidRPr="009C72D0">
        <w:t>kriteria</w:t>
      </w:r>
      <w:proofErr w:type="spellEnd"/>
      <w:r w:rsidRPr="009C72D0">
        <w:t xml:space="preserve">, </w:t>
      </w:r>
      <w:proofErr w:type="spellStart"/>
      <w:r w:rsidRPr="009C72D0">
        <w:t>jumlah</w:t>
      </w:r>
      <w:proofErr w:type="spellEnd"/>
      <w:r w:rsidRPr="009C72D0">
        <w:t xml:space="preserve"> </w:t>
      </w:r>
      <w:proofErr w:type="spellStart"/>
      <w:r w:rsidRPr="009C72D0">
        <w:t>hasil</w:t>
      </w:r>
      <w:proofErr w:type="spellEnd"/>
      <w:r w:rsidRPr="009C72D0">
        <w:t xml:space="preserve"> </w:t>
      </w:r>
      <w:proofErr w:type="spellStart"/>
      <w:r w:rsidRPr="009C72D0">
        <w:t>keseluruhan</w:t>
      </w:r>
      <w:proofErr w:type="spellEnd"/>
      <w:r w:rsidRPr="009C72D0">
        <w:t xml:space="preserve"> </w:t>
      </w:r>
      <w:proofErr w:type="spellStart"/>
      <w:r w:rsidRPr="009C72D0">
        <w:t>adalah</w:t>
      </w:r>
      <w:proofErr w:type="spellEnd"/>
      <w:r w:rsidRPr="009C72D0">
        <w:t xml:space="preserve"> 100%.</w:t>
      </w:r>
      <w:proofErr w:type="gramEnd"/>
      <w:r w:rsidRPr="009C72D0">
        <w:t xml:space="preserve"> </w:t>
      </w:r>
      <w:proofErr w:type="spellStart"/>
      <w:r w:rsidRPr="009C72D0">
        <w:lastRenderedPageBreak/>
        <w:t>Penetapan</w:t>
      </w:r>
      <w:proofErr w:type="spellEnd"/>
      <w:r w:rsidRPr="009C72D0">
        <w:t xml:space="preserve"> </w:t>
      </w:r>
      <w:proofErr w:type="spellStart"/>
      <w:r w:rsidRPr="009C72D0">
        <w:t>bobot</w:t>
      </w:r>
      <w:proofErr w:type="spellEnd"/>
      <w:r w:rsidRPr="009C72D0">
        <w:t xml:space="preserve"> </w:t>
      </w:r>
      <w:proofErr w:type="spellStart"/>
      <w:r w:rsidRPr="009C72D0">
        <w:t>masing-masing</w:t>
      </w:r>
      <w:proofErr w:type="spellEnd"/>
      <w:r w:rsidRPr="009C72D0">
        <w:t xml:space="preserve"> </w:t>
      </w:r>
      <w:proofErr w:type="spellStart"/>
      <w:r w:rsidRPr="009C72D0">
        <w:t>dari</w:t>
      </w:r>
      <w:proofErr w:type="spellEnd"/>
      <w:r w:rsidRPr="009C72D0">
        <w:t xml:space="preserve"> </w:t>
      </w:r>
      <w:proofErr w:type="spellStart"/>
      <w:r w:rsidRPr="009C72D0">
        <w:t>kriteria</w:t>
      </w:r>
      <w:proofErr w:type="spellEnd"/>
      <w:r w:rsidRPr="009C72D0">
        <w:t xml:space="preserve"> </w:t>
      </w:r>
      <w:r w:rsidRPr="003F7AB0">
        <w:rPr>
          <w:i/>
        </w:rPr>
        <w:t>Quality</w:t>
      </w:r>
      <w:r w:rsidRPr="009C72D0">
        <w:t xml:space="preserve"> 50%, </w:t>
      </w:r>
      <w:r w:rsidRPr="003F7AB0">
        <w:rPr>
          <w:i/>
        </w:rPr>
        <w:t>Cost</w:t>
      </w:r>
      <w:r w:rsidRPr="009C72D0">
        <w:t xml:space="preserve"> 20%, </w:t>
      </w:r>
      <w:r w:rsidRPr="003F7AB0">
        <w:rPr>
          <w:i/>
        </w:rPr>
        <w:lastRenderedPageBreak/>
        <w:t>Flexibility</w:t>
      </w:r>
      <w:r w:rsidRPr="009C72D0">
        <w:t xml:space="preserve"> 10%, </w:t>
      </w:r>
      <w:r w:rsidRPr="003F7AB0">
        <w:rPr>
          <w:i/>
        </w:rPr>
        <w:t>Delivery</w:t>
      </w:r>
      <w:r w:rsidRPr="009C72D0">
        <w:t xml:space="preserve"> 10%, </w:t>
      </w:r>
      <w:proofErr w:type="spellStart"/>
      <w:r w:rsidRPr="009C72D0">
        <w:t>dan</w:t>
      </w:r>
      <w:proofErr w:type="spellEnd"/>
      <w:r w:rsidRPr="009C72D0">
        <w:t xml:space="preserve"> </w:t>
      </w:r>
      <w:r w:rsidRPr="003F7AB0">
        <w:rPr>
          <w:i/>
        </w:rPr>
        <w:lastRenderedPageBreak/>
        <w:t>Responsiveness</w:t>
      </w:r>
      <w:r>
        <w:t xml:space="preserve"> </w:t>
      </w:r>
      <w:r w:rsidRPr="009C72D0">
        <w:t>10%</w:t>
      </w:r>
      <w:r>
        <w:t xml:space="preserve">. </w:t>
      </w:r>
    </w:p>
    <w:p w:rsidR="0028345D" w:rsidRDefault="0028345D" w:rsidP="0028345D">
      <w:pPr>
        <w:pStyle w:val="Default"/>
        <w:jc w:val="both"/>
        <w:rPr>
          <w:b/>
          <w:lang w:val="sv-SE"/>
        </w:rPr>
        <w:sectPr w:rsidR="0028345D" w:rsidSect="00AC0A17">
          <w:type w:val="continuous"/>
          <w:pgSz w:w="11907" w:h="16839" w:code="9"/>
          <w:pgMar w:top="1418" w:right="1418" w:bottom="1418" w:left="1701" w:header="680" w:footer="567" w:gutter="0"/>
          <w:pgNumType w:start="19"/>
          <w:cols w:num="2" w:space="720"/>
          <w:docGrid w:linePitch="360"/>
        </w:sectPr>
      </w:pPr>
    </w:p>
    <w:p w:rsidR="0028345D" w:rsidRDefault="0028345D" w:rsidP="0028345D">
      <w:pPr>
        <w:pStyle w:val="Default"/>
        <w:jc w:val="both"/>
        <w:rPr>
          <w:b/>
          <w:lang w:val="sv-SE"/>
        </w:rPr>
      </w:pPr>
    </w:p>
    <w:p w:rsidR="0028345D" w:rsidRPr="00B34426" w:rsidRDefault="0028345D" w:rsidP="0028345D">
      <w:pPr>
        <w:pStyle w:val="Default"/>
        <w:ind w:left="980" w:hanging="980"/>
        <w:jc w:val="center"/>
        <w:rPr>
          <w:sz w:val="20"/>
        </w:rPr>
      </w:pPr>
      <w:r w:rsidRPr="00B34426">
        <w:rPr>
          <w:b/>
          <w:sz w:val="20"/>
          <w:lang w:val="sv-SE"/>
        </w:rPr>
        <w:t>Tabel 3.</w:t>
      </w:r>
      <w:r w:rsidRPr="00B34426">
        <w:rPr>
          <w:sz w:val="20"/>
          <w:lang w:val="sv-SE"/>
        </w:rPr>
        <w:t xml:space="preserve"> </w:t>
      </w:r>
      <w:proofErr w:type="spellStart"/>
      <w:r w:rsidRPr="00B34426">
        <w:rPr>
          <w:sz w:val="20"/>
        </w:rPr>
        <w:t>Skor</w:t>
      </w:r>
      <w:proofErr w:type="spellEnd"/>
      <w:r w:rsidRPr="00B34426">
        <w:rPr>
          <w:sz w:val="20"/>
        </w:rPr>
        <w:t xml:space="preserve"> IKP </w:t>
      </w:r>
      <w:proofErr w:type="spellStart"/>
      <w:r w:rsidRPr="00B34426">
        <w:rPr>
          <w:sz w:val="20"/>
        </w:rPr>
        <w:t>dan</w:t>
      </w:r>
      <w:proofErr w:type="spellEnd"/>
      <w:r w:rsidRPr="00B34426">
        <w:rPr>
          <w:sz w:val="20"/>
        </w:rPr>
        <w:t xml:space="preserve"> </w:t>
      </w:r>
      <w:proofErr w:type="spellStart"/>
      <w:r w:rsidRPr="00B34426">
        <w:rPr>
          <w:sz w:val="20"/>
        </w:rPr>
        <w:t>Bobot</w:t>
      </w:r>
      <w:proofErr w:type="spellEnd"/>
      <w:r w:rsidRPr="00B34426">
        <w:rPr>
          <w:sz w:val="20"/>
        </w:rPr>
        <w:t xml:space="preserve"> IKP </w:t>
      </w:r>
      <w:proofErr w:type="spellStart"/>
      <w:r w:rsidRPr="00B34426">
        <w:rPr>
          <w:sz w:val="20"/>
        </w:rPr>
        <w:t>untuk</w:t>
      </w:r>
      <w:proofErr w:type="spellEnd"/>
      <w:r w:rsidRPr="00B34426">
        <w:rPr>
          <w:sz w:val="20"/>
        </w:rPr>
        <w:t xml:space="preserve"> </w:t>
      </w:r>
      <w:proofErr w:type="spellStart"/>
      <w:r w:rsidRPr="00B34426">
        <w:rPr>
          <w:sz w:val="20"/>
        </w:rPr>
        <w:t>Ketiga</w:t>
      </w:r>
      <w:proofErr w:type="spellEnd"/>
      <w:r w:rsidRPr="00B34426">
        <w:rPr>
          <w:sz w:val="20"/>
        </w:rPr>
        <w:t xml:space="preserve"> Supplier</w:t>
      </w:r>
    </w:p>
    <w:tbl>
      <w:tblPr>
        <w:tblW w:w="8647" w:type="dxa"/>
        <w:tblInd w:w="108" w:type="dxa"/>
        <w:tblLook w:val="04A0" w:firstRow="1" w:lastRow="0" w:firstColumn="1" w:lastColumn="0" w:noHBand="0" w:noVBand="1"/>
      </w:tblPr>
      <w:tblGrid>
        <w:gridCol w:w="1560"/>
        <w:gridCol w:w="3101"/>
        <w:gridCol w:w="912"/>
        <w:gridCol w:w="1192"/>
        <w:gridCol w:w="1173"/>
        <w:gridCol w:w="728"/>
      </w:tblGrid>
      <w:tr w:rsidR="0028345D" w:rsidRPr="007C7CD6" w:rsidTr="00C37D6C">
        <w:trPr>
          <w:trHeight w:val="295"/>
        </w:trPr>
        <w:tc>
          <w:tcPr>
            <w:tcW w:w="1560" w:type="dxa"/>
            <w:vMerge w:val="restart"/>
            <w:tcBorders>
              <w:top w:val="single" w:sz="4" w:space="0" w:color="auto"/>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Kriteria</w:t>
            </w:r>
          </w:p>
        </w:tc>
        <w:tc>
          <w:tcPr>
            <w:tcW w:w="3101" w:type="dxa"/>
            <w:vMerge w:val="restart"/>
            <w:tcBorders>
              <w:top w:val="single" w:sz="4" w:space="0" w:color="auto"/>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Indikator Kriteria Supplier</w:t>
            </w:r>
          </w:p>
        </w:tc>
        <w:tc>
          <w:tcPr>
            <w:tcW w:w="3277" w:type="dxa"/>
            <w:gridSpan w:val="3"/>
            <w:tcBorders>
              <w:top w:val="single" w:sz="4" w:space="0" w:color="auto"/>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Skor</w:t>
            </w:r>
          </w:p>
        </w:tc>
        <w:tc>
          <w:tcPr>
            <w:tcW w:w="709" w:type="dxa"/>
            <w:vMerge w:val="restart"/>
            <w:tcBorders>
              <w:top w:val="single" w:sz="4" w:space="0" w:color="auto"/>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Bobot IKP</w:t>
            </w:r>
          </w:p>
        </w:tc>
      </w:tr>
      <w:tr w:rsidR="0028345D" w:rsidRPr="007C7CD6" w:rsidTr="00C37D6C">
        <w:trPr>
          <w:trHeight w:val="300"/>
        </w:trPr>
        <w:tc>
          <w:tcPr>
            <w:tcW w:w="1560" w:type="dxa"/>
            <w:vMerge/>
            <w:tcBorders>
              <w:top w:val="single" w:sz="4" w:space="0" w:color="auto"/>
              <w:bottom w:val="single" w:sz="4" w:space="0" w:color="auto"/>
            </w:tcBorders>
            <w:vAlign w:val="center"/>
            <w:hideMark/>
          </w:tcPr>
          <w:p w:rsidR="0028345D" w:rsidRPr="007C7CD6" w:rsidRDefault="0028345D" w:rsidP="00C37D6C">
            <w:pPr>
              <w:rPr>
                <w:color w:val="000000"/>
                <w:sz w:val="20"/>
                <w:szCs w:val="20"/>
                <w:lang w:eastAsia="id-ID"/>
              </w:rPr>
            </w:pPr>
          </w:p>
        </w:tc>
        <w:tc>
          <w:tcPr>
            <w:tcW w:w="3101" w:type="dxa"/>
            <w:vMerge/>
            <w:tcBorders>
              <w:top w:val="single" w:sz="4" w:space="0" w:color="auto"/>
              <w:bottom w:val="single" w:sz="4" w:space="0" w:color="auto"/>
            </w:tcBorders>
            <w:vAlign w:val="center"/>
            <w:hideMark/>
          </w:tcPr>
          <w:p w:rsidR="0028345D" w:rsidRPr="007C7CD6" w:rsidRDefault="0028345D" w:rsidP="00C37D6C">
            <w:pPr>
              <w:rPr>
                <w:color w:val="000000"/>
                <w:sz w:val="20"/>
                <w:szCs w:val="20"/>
                <w:lang w:eastAsia="id-ID"/>
              </w:rPr>
            </w:pPr>
          </w:p>
        </w:tc>
        <w:tc>
          <w:tcPr>
            <w:tcW w:w="912" w:type="dxa"/>
            <w:tcBorders>
              <w:top w:val="nil"/>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UD. Minang Jaya</w:t>
            </w:r>
          </w:p>
        </w:tc>
        <w:tc>
          <w:tcPr>
            <w:tcW w:w="1192" w:type="dxa"/>
            <w:tcBorders>
              <w:top w:val="nil"/>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CV. Yudi Contractor</w:t>
            </w:r>
          </w:p>
        </w:tc>
        <w:tc>
          <w:tcPr>
            <w:tcW w:w="1173" w:type="dxa"/>
            <w:tcBorders>
              <w:top w:val="nil"/>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CV. Patamuan Indah</w:t>
            </w:r>
          </w:p>
        </w:tc>
        <w:tc>
          <w:tcPr>
            <w:tcW w:w="709" w:type="dxa"/>
            <w:vMerge/>
            <w:tcBorders>
              <w:top w:val="single" w:sz="4" w:space="0" w:color="auto"/>
              <w:bottom w:val="single" w:sz="4" w:space="0" w:color="auto"/>
            </w:tcBorders>
            <w:vAlign w:val="center"/>
            <w:hideMark/>
          </w:tcPr>
          <w:p w:rsidR="0028345D" w:rsidRPr="007C7CD6" w:rsidRDefault="0028345D" w:rsidP="00C37D6C">
            <w:pPr>
              <w:rPr>
                <w:color w:val="000000"/>
                <w:sz w:val="20"/>
                <w:szCs w:val="20"/>
                <w:lang w:eastAsia="id-ID"/>
              </w:rPr>
            </w:pPr>
          </w:p>
        </w:tc>
      </w:tr>
      <w:tr w:rsidR="0028345D" w:rsidRPr="007C7CD6" w:rsidTr="00C37D6C">
        <w:trPr>
          <w:trHeight w:val="295"/>
        </w:trPr>
        <w:tc>
          <w:tcPr>
            <w:tcW w:w="1560" w:type="dxa"/>
            <w:vMerge w:val="restart"/>
            <w:tcBorders>
              <w:top w:val="nil"/>
              <w:bottom w:val="single" w:sz="4" w:space="0" w:color="auto"/>
            </w:tcBorders>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Quality</w:t>
            </w:r>
          </w:p>
        </w:tc>
        <w:tc>
          <w:tcPr>
            <w:tcW w:w="3101"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Ketepatan jenis bahan yang dikirimkan</w:t>
            </w:r>
          </w:p>
        </w:tc>
        <w:tc>
          <w:tcPr>
            <w:tcW w:w="91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0,25</w:t>
            </w:r>
          </w:p>
        </w:tc>
      </w:tr>
      <w:tr w:rsidR="0028345D" w:rsidRPr="007C7CD6" w:rsidTr="00C37D6C">
        <w:trPr>
          <w:trHeight w:val="295"/>
        </w:trPr>
        <w:tc>
          <w:tcPr>
            <w:tcW w:w="1560" w:type="dxa"/>
            <w:vMerge/>
            <w:tcBorders>
              <w:top w:val="nil"/>
              <w:bottom w:val="single" w:sz="4" w:space="0" w:color="auto"/>
            </w:tcBorders>
            <w:vAlign w:val="center"/>
            <w:hideMark/>
          </w:tcPr>
          <w:p w:rsidR="0028345D" w:rsidRPr="003F7AB0" w:rsidRDefault="0028345D" w:rsidP="00C37D6C">
            <w:pPr>
              <w:rPr>
                <w:i/>
                <w:color w:val="000000"/>
                <w:sz w:val="20"/>
                <w:szCs w:val="20"/>
                <w:lang w:eastAsia="id-ID"/>
              </w:rPr>
            </w:pPr>
          </w:p>
        </w:tc>
        <w:tc>
          <w:tcPr>
            <w:tcW w:w="310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Ketepatan ukuran</w:t>
            </w:r>
          </w:p>
        </w:tc>
        <w:tc>
          <w:tcPr>
            <w:tcW w:w="91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9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709"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0,25</w:t>
            </w:r>
          </w:p>
        </w:tc>
      </w:tr>
      <w:tr w:rsidR="0028345D" w:rsidRPr="007C7CD6" w:rsidTr="00C37D6C">
        <w:trPr>
          <w:trHeight w:val="295"/>
        </w:trPr>
        <w:tc>
          <w:tcPr>
            <w:tcW w:w="1560" w:type="dxa"/>
            <w:vMerge w:val="restart"/>
            <w:tcBorders>
              <w:top w:val="nil"/>
              <w:bottom w:val="single" w:sz="4" w:space="0" w:color="auto"/>
            </w:tcBorders>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Cost</w:t>
            </w:r>
          </w:p>
        </w:tc>
        <w:tc>
          <w:tcPr>
            <w:tcW w:w="3101"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Kesesuaian harga barang</w:t>
            </w:r>
          </w:p>
        </w:tc>
        <w:tc>
          <w:tcPr>
            <w:tcW w:w="91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0,15</w:t>
            </w:r>
          </w:p>
        </w:tc>
      </w:tr>
      <w:tr w:rsidR="0028345D" w:rsidRPr="007C7CD6" w:rsidTr="00C37D6C">
        <w:trPr>
          <w:trHeight w:val="295"/>
        </w:trPr>
        <w:tc>
          <w:tcPr>
            <w:tcW w:w="1560" w:type="dxa"/>
            <w:vMerge/>
            <w:tcBorders>
              <w:top w:val="nil"/>
              <w:bottom w:val="single" w:sz="4" w:space="0" w:color="auto"/>
            </w:tcBorders>
            <w:vAlign w:val="center"/>
            <w:hideMark/>
          </w:tcPr>
          <w:p w:rsidR="0028345D" w:rsidRPr="003F7AB0" w:rsidRDefault="0028345D" w:rsidP="00C37D6C">
            <w:pPr>
              <w:rPr>
                <w:i/>
                <w:color w:val="000000"/>
                <w:sz w:val="20"/>
                <w:szCs w:val="20"/>
                <w:lang w:eastAsia="id-ID"/>
              </w:rPr>
            </w:pPr>
          </w:p>
        </w:tc>
        <w:tc>
          <w:tcPr>
            <w:tcW w:w="310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Besaran potongan harga / diskon</w:t>
            </w:r>
          </w:p>
        </w:tc>
        <w:tc>
          <w:tcPr>
            <w:tcW w:w="91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0,6</w:t>
            </w:r>
          </w:p>
        </w:tc>
        <w:tc>
          <w:tcPr>
            <w:tcW w:w="119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0,6</w:t>
            </w:r>
          </w:p>
        </w:tc>
        <w:tc>
          <w:tcPr>
            <w:tcW w:w="1173"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0,6</w:t>
            </w:r>
          </w:p>
        </w:tc>
        <w:tc>
          <w:tcPr>
            <w:tcW w:w="709"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295"/>
        </w:trPr>
        <w:tc>
          <w:tcPr>
            <w:tcW w:w="1560" w:type="dxa"/>
            <w:vMerge w:val="restart"/>
            <w:tcBorders>
              <w:top w:val="nil"/>
              <w:bottom w:val="single" w:sz="4" w:space="0" w:color="auto"/>
            </w:tcBorders>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Delivery</w:t>
            </w:r>
          </w:p>
        </w:tc>
        <w:tc>
          <w:tcPr>
            <w:tcW w:w="3101"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Ketepatan kuantitas barang yang dikirimkan</w:t>
            </w:r>
          </w:p>
        </w:tc>
        <w:tc>
          <w:tcPr>
            <w:tcW w:w="91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295"/>
        </w:trPr>
        <w:tc>
          <w:tcPr>
            <w:tcW w:w="1560" w:type="dxa"/>
            <w:vMerge/>
            <w:tcBorders>
              <w:top w:val="nil"/>
              <w:bottom w:val="single" w:sz="4" w:space="0" w:color="auto"/>
            </w:tcBorders>
            <w:vAlign w:val="center"/>
            <w:hideMark/>
          </w:tcPr>
          <w:p w:rsidR="0028345D" w:rsidRPr="003F7AB0" w:rsidRDefault="0028345D" w:rsidP="00C37D6C">
            <w:pPr>
              <w:rPr>
                <w:i/>
                <w:color w:val="000000"/>
                <w:sz w:val="20"/>
                <w:szCs w:val="20"/>
                <w:lang w:eastAsia="id-ID"/>
              </w:rPr>
            </w:pPr>
          </w:p>
        </w:tc>
        <w:tc>
          <w:tcPr>
            <w:tcW w:w="310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Ketepatan waktu pengiriman</w:t>
            </w:r>
          </w:p>
        </w:tc>
        <w:tc>
          <w:tcPr>
            <w:tcW w:w="91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0,9</w:t>
            </w:r>
          </w:p>
        </w:tc>
        <w:tc>
          <w:tcPr>
            <w:tcW w:w="1173"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0,05</w:t>
            </w:r>
          </w:p>
        </w:tc>
      </w:tr>
      <w:tr w:rsidR="0028345D" w:rsidRPr="007C7CD6" w:rsidTr="00C37D6C">
        <w:trPr>
          <w:trHeight w:val="295"/>
        </w:trPr>
        <w:tc>
          <w:tcPr>
            <w:tcW w:w="1560" w:type="dxa"/>
            <w:vMerge w:val="restart"/>
            <w:tcBorders>
              <w:top w:val="nil"/>
              <w:bottom w:val="single" w:sz="4" w:space="0" w:color="auto"/>
            </w:tcBorders>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Flexibility</w:t>
            </w:r>
          </w:p>
        </w:tc>
        <w:tc>
          <w:tcPr>
            <w:tcW w:w="3101"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Dipenuhinya perubahan jumlah material yang dipesan</w:t>
            </w:r>
          </w:p>
        </w:tc>
        <w:tc>
          <w:tcPr>
            <w:tcW w:w="91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0,03</w:t>
            </w:r>
          </w:p>
        </w:tc>
      </w:tr>
      <w:tr w:rsidR="0028345D" w:rsidRPr="007C7CD6" w:rsidTr="00C37D6C">
        <w:trPr>
          <w:trHeight w:val="295"/>
        </w:trPr>
        <w:tc>
          <w:tcPr>
            <w:tcW w:w="1560" w:type="dxa"/>
            <w:vMerge/>
            <w:tcBorders>
              <w:top w:val="nil"/>
              <w:bottom w:val="single" w:sz="4" w:space="0" w:color="auto"/>
            </w:tcBorders>
            <w:vAlign w:val="center"/>
            <w:hideMark/>
          </w:tcPr>
          <w:p w:rsidR="0028345D" w:rsidRPr="003F7AB0" w:rsidRDefault="0028345D" w:rsidP="00C37D6C">
            <w:pPr>
              <w:rPr>
                <w:i/>
                <w:color w:val="000000"/>
                <w:sz w:val="20"/>
                <w:szCs w:val="20"/>
                <w:lang w:eastAsia="id-ID"/>
              </w:rPr>
            </w:pPr>
          </w:p>
        </w:tc>
        <w:tc>
          <w:tcPr>
            <w:tcW w:w="3101"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Dipenuhinya perubahan waktu pengiriman</w:t>
            </w:r>
          </w:p>
        </w:tc>
        <w:tc>
          <w:tcPr>
            <w:tcW w:w="912"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92"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0,03</w:t>
            </w:r>
          </w:p>
        </w:tc>
      </w:tr>
      <w:tr w:rsidR="0028345D" w:rsidRPr="007C7CD6" w:rsidTr="00C37D6C">
        <w:trPr>
          <w:trHeight w:val="295"/>
        </w:trPr>
        <w:tc>
          <w:tcPr>
            <w:tcW w:w="1560" w:type="dxa"/>
            <w:vMerge/>
            <w:tcBorders>
              <w:top w:val="nil"/>
              <w:bottom w:val="single" w:sz="4" w:space="0" w:color="auto"/>
            </w:tcBorders>
            <w:vAlign w:val="center"/>
            <w:hideMark/>
          </w:tcPr>
          <w:p w:rsidR="0028345D" w:rsidRPr="003F7AB0" w:rsidRDefault="0028345D" w:rsidP="00C37D6C">
            <w:pPr>
              <w:rPr>
                <w:i/>
                <w:color w:val="000000"/>
                <w:sz w:val="20"/>
                <w:szCs w:val="20"/>
                <w:lang w:eastAsia="id-ID"/>
              </w:rPr>
            </w:pPr>
          </w:p>
        </w:tc>
        <w:tc>
          <w:tcPr>
            <w:tcW w:w="310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Dipenuhinya penggantian material yang tidak sesuai</w:t>
            </w:r>
          </w:p>
        </w:tc>
        <w:tc>
          <w:tcPr>
            <w:tcW w:w="91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0,6</w:t>
            </w:r>
          </w:p>
        </w:tc>
        <w:tc>
          <w:tcPr>
            <w:tcW w:w="119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73"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295"/>
        </w:trPr>
        <w:tc>
          <w:tcPr>
            <w:tcW w:w="1560" w:type="dxa"/>
            <w:vMerge w:val="restart"/>
            <w:tcBorders>
              <w:top w:val="nil"/>
              <w:bottom w:val="single" w:sz="4" w:space="0" w:color="auto"/>
            </w:tcBorders>
            <w:shd w:val="clear" w:color="auto" w:fill="auto"/>
            <w:noWrap/>
            <w:vAlign w:val="center"/>
            <w:hideMark/>
          </w:tcPr>
          <w:p w:rsidR="0028345D" w:rsidRPr="003F7AB0" w:rsidRDefault="0028345D" w:rsidP="00C37D6C">
            <w:pPr>
              <w:rPr>
                <w:i/>
                <w:color w:val="000000"/>
                <w:sz w:val="20"/>
                <w:szCs w:val="20"/>
                <w:lang w:eastAsia="id-ID"/>
              </w:rPr>
            </w:pPr>
            <w:r w:rsidRPr="003F7AB0">
              <w:rPr>
                <w:i/>
                <w:color w:val="000000"/>
                <w:sz w:val="20"/>
                <w:szCs w:val="20"/>
                <w:lang w:eastAsia="id-ID"/>
              </w:rPr>
              <w:t>Responsive</w:t>
            </w:r>
            <w:r>
              <w:rPr>
                <w:i/>
                <w:color w:val="000000"/>
                <w:sz w:val="20"/>
                <w:szCs w:val="20"/>
                <w:lang w:eastAsia="id-ID"/>
              </w:rPr>
              <w:t>ness</w:t>
            </w:r>
          </w:p>
        </w:tc>
        <w:tc>
          <w:tcPr>
            <w:tcW w:w="3101"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Pr>
                <w:color w:val="000000"/>
                <w:sz w:val="20"/>
                <w:szCs w:val="20"/>
                <w:lang w:eastAsia="id-ID"/>
              </w:rPr>
              <w:t>Supplier</w:t>
            </w:r>
            <w:r w:rsidRPr="007C7CD6">
              <w:rPr>
                <w:color w:val="000000"/>
                <w:sz w:val="20"/>
                <w:szCs w:val="20"/>
                <w:lang w:eastAsia="id-ID"/>
              </w:rPr>
              <w:t xml:space="preserve"> merespon masalah/keluhan</w:t>
            </w:r>
          </w:p>
        </w:tc>
        <w:tc>
          <w:tcPr>
            <w:tcW w:w="91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92"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709" w:type="dxa"/>
            <w:tcBorders>
              <w:top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295"/>
        </w:trPr>
        <w:tc>
          <w:tcPr>
            <w:tcW w:w="1560"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3101"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Pr>
                <w:color w:val="000000"/>
                <w:sz w:val="20"/>
                <w:szCs w:val="20"/>
                <w:lang w:eastAsia="id-ID"/>
              </w:rPr>
              <w:t>Supplier</w:t>
            </w:r>
            <w:r w:rsidRPr="007C7CD6">
              <w:rPr>
                <w:color w:val="000000"/>
                <w:sz w:val="20"/>
                <w:szCs w:val="20"/>
                <w:lang w:eastAsia="id-ID"/>
              </w:rPr>
              <w:t xml:space="preserve"> merespon perubahan jumlah permintaan</w:t>
            </w:r>
          </w:p>
        </w:tc>
        <w:tc>
          <w:tcPr>
            <w:tcW w:w="912"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92"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73"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nil"/>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0,04</w:t>
            </w:r>
          </w:p>
        </w:tc>
      </w:tr>
      <w:tr w:rsidR="0028345D" w:rsidRPr="007C7CD6" w:rsidTr="00C37D6C">
        <w:trPr>
          <w:trHeight w:val="295"/>
        </w:trPr>
        <w:tc>
          <w:tcPr>
            <w:tcW w:w="1560" w:type="dxa"/>
            <w:vMerge/>
            <w:tcBorders>
              <w:top w:val="nil"/>
              <w:bottom w:val="single" w:sz="4" w:space="0" w:color="auto"/>
            </w:tcBorders>
            <w:vAlign w:val="center"/>
            <w:hideMark/>
          </w:tcPr>
          <w:p w:rsidR="0028345D" w:rsidRPr="007C7CD6" w:rsidRDefault="0028345D" w:rsidP="00C37D6C">
            <w:pPr>
              <w:rPr>
                <w:color w:val="000000"/>
                <w:sz w:val="20"/>
                <w:szCs w:val="20"/>
                <w:lang w:eastAsia="id-ID"/>
              </w:rPr>
            </w:pPr>
          </w:p>
        </w:tc>
        <w:tc>
          <w:tcPr>
            <w:tcW w:w="3101"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Pr>
                <w:color w:val="000000"/>
                <w:sz w:val="20"/>
                <w:szCs w:val="20"/>
                <w:lang w:eastAsia="id-ID"/>
              </w:rPr>
              <w:t>Supplier</w:t>
            </w:r>
            <w:r w:rsidRPr="007C7CD6">
              <w:rPr>
                <w:color w:val="000000"/>
                <w:sz w:val="20"/>
                <w:szCs w:val="20"/>
                <w:lang w:eastAsia="id-ID"/>
              </w:rPr>
              <w:t xml:space="preserve"> merespon perubahan jadwal pengiriman</w:t>
            </w:r>
          </w:p>
        </w:tc>
        <w:tc>
          <w:tcPr>
            <w:tcW w:w="91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0,7</w:t>
            </w:r>
          </w:p>
        </w:tc>
        <w:tc>
          <w:tcPr>
            <w:tcW w:w="1192"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1173"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0,8</w:t>
            </w:r>
          </w:p>
        </w:tc>
        <w:tc>
          <w:tcPr>
            <w:tcW w:w="709" w:type="dxa"/>
            <w:tcBorders>
              <w:top w:val="nil"/>
              <w:bottom w:val="single" w:sz="4" w:space="0" w:color="auto"/>
            </w:tcBorders>
            <w:shd w:val="clear" w:color="auto" w:fill="auto"/>
            <w:noWrap/>
            <w:vAlign w:val="center"/>
            <w:hideMark/>
          </w:tcPr>
          <w:p w:rsidR="0028345D" w:rsidRPr="007C7CD6" w:rsidRDefault="0028345D" w:rsidP="00C37D6C">
            <w:pPr>
              <w:rPr>
                <w:color w:val="000000"/>
                <w:sz w:val="20"/>
                <w:szCs w:val="20"/>
                <w:lang w:eastAsia="id-ID"/>
              </w:rPr>
            </w:pPr>
            <w:r w:rsidRPr="007C7CD6">
              <w:rPr>
                <w:color w:val="000000"/>
                <w:sz w:val="20"/>
                <w:szCs w:val="20"/>
                <w:lang w:eastAsia="id-ID"/>
              </w:rPr>
              <w:t>0,02</w:t>
            </w:r>
          </w:p>
        </w:tc>
      </w:tr>
    </w:tbl>
    <w:p w:rsidR="0028345D" w:rsidRPr="0028345D" w:rsidRDefault="0028345D" w:rsidP="0028345D">
      <w:pPr>
        <w:spacing w:line="360" w:lineRule="auto"/>
        <w:rPr>
          <w:i/>
          <w:sz w:val="20"/>
        </w:rPr>
      </w:pPr>
      <w:r w:rsidRPr="0028345D">
        <w:rPr>
          <w:i/>
          <w:sz w:val="20"/>
        </w:rPr>
        <w:t>Sumber : PT. Igasar 2015</w:t>
      </w:r>
    </w:p>
    <w:p w:rsidR="0028345D" w:rsidRDefault="0028345D" w:rsidP="0028345D">
      <w:pPr>
        <w:pStyle w:val="Default"/>
        <w:ind w:left="602" w:hanging="602"/>
        <w:jc w:val="both"/>
        <w:rPr>
          <w:lang w:val="sv-SE"/>
        </w:rPr>
        <w:sectPr w:rsidR="0028345D" w:rsidSect="00AC0A17">
          <w:type w:val="continuous"/>
          <w:pgSz w:w="11907" w:h="16839" w:code="9"/>
          <w:pgMar w:top="1418" w:right="1418" w:bottom="1418" w:left="1701" w:header="680" w:footer="567" w:gutter="0"/>
          <w:pgNumType w:start="22"/>
          <w:cols w:space="720"/>
          <w:docGrid w:linePitch="360"/>
        </w:sectPr>
      </w:pPr>
    </w:p>
    <w:p w:rsidR="0028345D" w:rsidRDefault="0028345D" w:rsidP="0028345D">
      <w:pPr>
        <w:pStyle w:val="Default"/>
        <w:jc w:val="both"/>
      </w:pPr>
      <w:r>
        <w:rPr>
          <w:lang w:val="sv-SE"/>
        </w:rPr>
        <w:lastRenderedPageBreak/>
        <w:t xml:space="preserve">     </w:t>
      </w:r>
      <w:r>
        <w:rPr>
          <w:lang w:val="sv-SE"/>
        </w:rPr>
        <w:tab/>
      </w:r>
      <w:proofErr w:type="spellStart"/>
      <w:proofErr w:type="gramStart"/>
      <w:r>
        <w:t>Sedangkan</w:t>
      </w:r>
      <w:proofErr w:type="spellEnd"/>
      <w:r>
        <w:t xml:space="preserve"> </w:t>
      </w:r>
      <w:proofErr w:type="spellStart"/>
      <w:r>
        <w:t>Pada</w:t>
      </w:r>
      <w:proofErr w:type="spellEnd"/>
      <w:r>
        <w:t xml:space="preserve"> </w:t>
      </w:r>
      <w:proofErr w:type="spellStart"/>
      <w:r>
        <w:t>Tabel</w:t>
      </w:r>
      <w:proofErr w:type="spellEnd"/>
      <w:r>
        <w:t xml:space="preserve"> 3 </w:t>
      </w:r>
      <w:proofErr w:type="spellStart"/>
      <w:r>
        <w:t>menjelaskan</w:t>
      </w:r>
      <w:proofErr w:type="spellEnd"/>
      <w:r>
        <w:t xml:space="preserve"> </w:t>
      </w:r>
      <w:proofErr w:type="spellStart"/>
      <w:r>
        <w:t>skor</w:t>
      </w:r>
      <w:proofErr w:type="spellEnd"/>
      <w:r>
        <w:t xml:space="preserve"> yang </w:t>
      </w:r>
      <w:proofErr w:type="spellStart"/>
      <w:r>
        <w:t>diperoleh</w:t>
      </w:r>
      <w:proofErr w:type="spellEnd"/>
      <w:r>
        <w:t xml:space="preserve"> </w:t>
      </w:r>
      <w:proofErr w:type="spellStart"/>
      <w:r>
        <w:t>untuk</w:t>
      </w:r>
      <w:proofErr w:type="spellEnd"/>
      <w:r>
        <w:t xml:space="preserve"> </w:t>
      </w:r>
      <w:proofErr w:type="spellStart"/>
      <w:r>
        <w:t>masing</w:t>
      </w:r>
      <w:proofErr w:type="spellEnd"/>
      <w:r>
        <w:t xml:space="preserve"> </w:t>
      </w:r>
      <w:proofErr w:type="spellStart"/>
      <w:r>
        <w:t>masing</w:t>
      </w:r>
      <w:proofErr w:type="spellEnd"/>
      <w:r>
        <w:t xml:space="preserve"> </w:t>
      </w:r>
      <w:proofErr w:type="spellStart"/>
      <w:r>
        <w:t>indikator</w:t>
      </w:r>
      <w:proofErr w:type="spellEnd"/>
      <w:r>
        <w:t xml:space="preserve"> </w:t>
      </w:r>
      <w:proofErr w:type="spellStart"/>
      <w:r>
        <w:t>kriteria</w:t>
      </w:r>
      <w:proofErr w:type="spellEnd"/>
      <w:r>
        <w:t xml:space="preserve"> supplier.</w:t>
      </w:r>
      <w:proofErr w:type="gramEnd"/>
      <w:r>
        <w:t xml:space="preserve">   </w:t>
      </w:r>
    </w:p>
    <w:p w:rsidR="0028345D" w:rsidRDefault="0028345D" w:rsidP="0028345D">
      <w:pPr>
        <w:pStyle w:val="Default"/>
        <w:jc w:val="both"/>
      </w:pPr>
      <w:r>
        <w:t xml:space="preserve"> </w:t>
      </w:r>
    </w:p>
    <w:p w:rsidR="0028345D" w:rsidRPr="00AA6BC3" w:rsidRDefault="0028345D" w:rsidP="0028345D">
      <w:pPr>
        <w:pStyle w:val="Default"/>
        <w:jc w:val="both"/>
        <w:rPr>
          <w:b/>
          <w:i/>
          <w:lang w:val="sv-SE"/>
        </w:rPr>
      </w:pPr>
      <w:proofErr w:type="spellStart"/>
      <w:r w:rsidRPr="00AA6BC3">
        <w:rPr>
          <w:b/>
          <w:i/>
        </w:rPr>
        <w:t>Perhitungan</w:t>
      </w:r>
      <w:proofErr w:type="spellEnd"/>
      <w:r w:rsidRPr="00AA6BC3">
        <w:rPr>
          <w:b/>
          <w:i/>
        </w:rPr>
        <w:t xml:space="preserve"> </w:t>
      </w:r>
      <w:proofErr w:type="spellStart"/>
      <w:r w:rsidRPr="00AA6BC3">
        <w:rPr>
          <w:b/>
          <w:i/>
        </w:rPr>
        <w:t>Skor</w:t>
      </w:r>
      <w:proofErr w:type="spellEnd"/>
      <w:r w:rsidRPr="00AA6BC3">
        <w:rPr>
          <w:b/>
          <w:i/>
        </w:rPr>
        <w:t xml:space="preserve"> </w:t>
      </w:r>
      <w:proofErr w:type="spellStart"/>
      <w:r w:rsidRPr="00AA6BC3">
        <w:rPr>
          <w:b/>
          <w:i/>
        </w:rPr>
        <w:t>Kriteria</w:t>
      </w:r>
      <w:proofErr w:type="spellEnd"/>
      <w:r w:rsidRPr="00AA6BC3">
        <w:rPr>
          <w:b/>
          <w:i/>
        </w:rPr>
        <w:t xml:space="preserve"> Q, C, F, D, R</w:t>
      </w:r>
    </w:p>
    <w:p w:rsidR="0028345D" w:rsidRPr="009C72D0" w:rsidRDefault="0028345D" w:rsidP="0028345D">
      <w:pPr>
        <w:jc w:val="both"/>
      </w:pPr>
      <w:r>
        <w:rPr>
          <w:b/>
          <w:lang w:val="sv-SE"/>
        </w:rPr>
        <w:t xml:space="preserve">    </w:t>
      </w:r>
      <w:r>
        <w:rPr>
          <w:b/>
          <w:lang w:val="sv-SE"/>
        </w:rPr>
        <w:tab/>
        <w:t xml:space="preserve"> </w:t>
      </w:r>
      <w:r w:rsidRPr="009C72D0">
        <w:t xml:space="preserve">Perhitungan skor kriteria diperoleh dari jumlah perkalian antara skor indikator kriteria </w:t>
      </w:r>
      <w:r>
        <w:t>supplier</w:t>
      </w:r>
      <w:r w:rsidRPr="009C72D0">
        <w:t xml:space="preserve"> (IKP) dengan bobot indikator kriteria </w:t>
      </w:r>
      <w:r>
        <w:t>supplier</w:t>
      </w:r>
      <w:r w:rsidRPr="009C72D0">
        <w:t xml:space="preserve"> (IKP). Berikut ini adalah contoh perhitungan skor penilaian dengan menggunakan metode </w:t>
      </w:r>
      <w:r w:rsidRPr="003F7AB0">
        <w:rPr>
          <w:i/>
        </w:rPr>
        <w:t>Analytical Hierarchy Process</w:t>
      </w:r>
      <w:r w:rsidRPr="009C72D0">
        <w:t xml:space="preserve"> (AHP) dari masing-masing kriteria, skor kriteria UD. Minang Jaya :</w:t>
      </w:r>
    </w:p>
    <w:p w:rsidR="0028345D" w:rsidRDefault="0028345D" w:rsidP="0028345D">
      <w:pPr>
        <w:numPr>
          <w:ilvl w:val="0"/>
          <w:numId w:val="7"/>
        </w:numPr>
        <w:ind w:left="426"/>
        <w:jc w:val="both"/>
      </w:pPr>
      <w:r w:rsidRPr="00A9740B">
        <w:rPr>
          <w:i/>
        </w:rPr>
        <w:t>Quality</w:t>
      </w:r>
      <w:r w:rsidRPr="009C72D0">
        <w:t xml:space="preserve"> = (skor IKP1 x bobot IKP1) + (skor IKP2 x bobot IKP2) x 100 = (0,8 x 0,25) + (0,7 x 0,25) x100 = 37,5%</w:t>
      </w:r>
    </w:p>
    <w:p w:rsidR="0028345D" w:rsidRDefault="0028345D" w:rsidP="0028345D">
      <w:pPr>
        <w:numPr>
          <w:ilvl w:val="0"/>
          <w:numId w:val="7"/>
        </w:numPr>
        <w:ind w:left="426"/>
        <w:jc w:val="both"/>
      </w:pPr>
      <w:r w:rsidRPr="00A9740B">
        <w:rPr>
          <w:i/>
        </w:rPr>
        <w:t xml:space="preserve">Cost </w:t>
      </w:r>
      <w:r w:rsidRPr="009C72D0">
        <w:t>= (Skor IKP3 x bobot IKP3) + (skor IKP4 x bobot IKP4) x 100 = (0,8 x 0,15) + (0,6 x 0,05) x 100 = 15%</w:t>
      </w:r>
    </w:p>
    <w:p w:rsidR="0028345D" w:rsidRDefault="0028345D" w:rsidP="0028345D">
      <w:pPr>
        <w:numPr>
          <w:ilvl w:val="0"/>
          <w:numId w:val="7"/>
        </w:numPr>
        <w:ind w:left="426"/>
        <w:jc w:val="both"/>
      </w:pPr>
      <w:r w:rsidRPr="00A9740B">
        <w:rPr>
          <w:i/>
        </w:rPr>
        <w:lastRenderedPageBreak/>
        <w:t>Delivery</w:t>
      </w:r>
      <w:r w:rsidRPr="009C72D0">
        <w:t xml:space="preserve"> = (Skor IKP5 x bobot IKP5) + (skor IKP6 x bobot IKP6) x 100 = (0,8 x 0,05) + (0,8 x 0,05) x 100 = 8%</w:t>
      </w:r>
    </w:p>
    <w:p w:rsidR="0028345D" w:rsidRDefault="0028345D" w:rsidP="0028345D">
      <w:pPr>
        <w:numPr>
          <w:ilvl w:val="0"/>
          <w:numId w:val="7"/>
        </w:numPr>
        <w:ind w:left="426"/>
        <w:jc w:val="both"/>
      </w:pPr>
      <w:r w:rsidRPr="00A9740B">
        <w:rPr>
          <w:i/>
        </w:rPr>
        <w:t>Flexibility</w:t>
      </w:r>
      <w:r w:rsidRPr="009C72D0">
        <w:t xml:space="preserve"> = (Skor IKP7 x bobot IKP7) + (skor IKP8 x bobot IKP8) + (skor IKP9 x bobot IKP9) x 100 = (0,8 x 0,03) + (0,8 x 0,03) + (0,6 x 0,04) x 100 = 7,2%</w:t>
      </w:r>
    </w:p>
    <w:p w:rsidR="0028345D" w:rsidRPr="009C72D0" w:rsidRDefault="0028345D" w:rsidP="0028345D">
      <w:pPr>
        <w:numPr>
          <w:ilvl w:val="0"/>
          <w:numId w:val="7"/>
        </w:numPr>
        <w:ind w:left="426"/>
        <w:jc w:val="both"/>
      </w:pPr>
      <w:r w:rsidRPr="00A9740B">
        <w:rPr>
          <w:i/>
        </w:rPr>
        <w:t>Responsiveness</w:t>
      </w:r>
      <w:r w:rsidRPr="009C72D0">
        <w:t xml:space="preserve"> = (Skor IKP10 x bobot IKP10) + (skor IKP11 x bobot IKP11) + (skor IKP12 x bobot IKP12) x 100 = (0,7 x 0,04) + (0,7 x 0,04) + (0,7 x 0,02) x 100 = 7%</w:t>
      </w:r>
    </w:p>
    <w:p w:rsidR="00206460" w:rsidRDefault="0028345D" w:rsidP="0028345D">
      <w:pPr>
        <w:ind w:left="66"/>
        <w:jc w:val="both"/>
      </w:pPr>
      <w:r>
        <w:t xml:space="preserve">Maka dari </w:t>
      </w:r>
      <w:r w:rsidRPr="009C72D0">
        <w:t xml:space="preserve">perhitungan penilaian kinerja </w:t>
      </w:r>
      <w:r w:rsidRPr="00F24BB8">
        <w:rPr>
          <w:i/>
        </w:rPr>
        <w:t>supplier</w:t>
      </w:r>
      <w:r w:rsidRPr="009C72D0">
        <w:t xml:space="preserve"> dengan menggunakan metode </w:t>
      </w:r>
      <w:r w:rsidRPr="00EE0553">
        <w:rPr>
          <w:i/>
        </w:rPr>
        <w:t>Analytical Hierarchy Process</w:t>
      </w:r>
      <w:r w:rsidRPr="009C72D0">
        <w:t xml:space="preserve"> (AHP), diperoleh skor </w:t>
      </w:r>
      <w:r>
        <w:t xml:space="preserve">masing-masing </w:t>
      </w:r>
      <w:r w:rsidRPr="009C72D0">
        <w:t xml:space="preserve">kriteria Q,C,D,F,R </w:t>
      </w:r>
      <w:r>
        <w:t xml:space="preserve">adalah 37,5 %, 15 %, 8 %, 7,2 % dan 7 % untuk UD Minang Jaya, 40 %, 15 %, 8,5 %, 7,6 % dan 7,6 % untuk CV Yudi Contractor, 37,5 %, 15 %, 8, %, 8 % dan 7,6 % untuk CV </w:t>
      </w:r>
      <w:r w:rsidR="00206460">
        <w:rPr>
          <w:lang w:val="en-US"/>
        </w:rPr>
        <w:br/>
      </w:r>
    </w:p>
    <w:p w:rsidR="00B44C95" w:rsidRDefault="00206460" w:rsidP="0028345D">
      <w:pPr>
        <w:ind w:left="66"/>
        <w:jc w:val="both"/>
      </w:pPr>
      <w:r>
        <w:br w:type="column"/>
      </w:r>
      <w:r w:rsidR="0028345D">
        <w:lastRenderedPageBreak/>
        <w:t xml:space="preserve">Patamuan Indah.  Hal tersebut seperti </w:t>
      </w:r>
    </w:p>
    <w:p w:rsidR="00B44C95" w:rsidRPr="00B44C95" w:rsidRDefault="00B44C95" w:rsidP="00B44C95">
      <w:pPr>
        <w:ind w:left="66"/>
        <w:jc w:val="both"/>
        <w:rPr>
          <w:lang w:val="en-US"/>
        </w:rPr>
        <w:sectPr w:rsidR="00B44C95" w:rsidRPr="00B44C95" w:rsidSect="00AC0A17">
          <w:type w:val="continuous"/>
          <w:pgSz w:w="11907" w:h="16839" w:code="9"/>
          <w:pgMar w:top="1418" w:right="1418" w:bottom="1418" w:left="1701" w:header="680" w:footer="567" w:gutter="0"/>
          <w:pgNumType w:start="20"/>
          <w:cols w:num="2" w:space="720"/>
          <w:docGrid w:linePitch="360"/>
        </w:sectPr>
      </w:pPr>
      <w:r>
        <w:br w:type="column"/>
      </w:r>
      <w:r w:rsidR="0028345D">
        <w:lastRenderedPageBreak/>
        <w:t>yang tergambar pada tab</w:t>
      </w:r>
      <w:r w:rsidR="0028345D">
        <w:rPr>
          <w:lang w:val="en-US"/>
        </w:rPr>
        <w:t>el</w:t>
      </w:r>
      <w:r w:rsidR="0028345D">
        <w:t xml:space="preserve"> 4</w:t>
      </w:r>
      <w:r w:rsidR="0028345D" w:rsidRPr="009C72D0">
        <w:t xml:space="preserve"> </w:t>
      </w:r>
      <w:r w:rsidR="0028345D">
        <w:t>di bawah</w:t>
      </w:r>
      <w:r w:rsidR="0028345D" w:rsidRPr="009C72D0">
        <w:t xml:space="preserve"> ini :</w:t>
      </w:r>
    </w:p>
    <w:p w:rsidR="00206460" w:rsidRPr="0028345D" w:rsidRDefault="00206460" w:rsidP="00206460">
      <w:pPr>
        <w:pStyle w:val="Default"/>
        <w:jc w:val="center"/>
        <w:rPr>
          <w:b/>
          <w:sz w:val="20"/>
        </w:rPr>
      </w:pPr>
      <w:r w:rsidRPr="0028345D">
        <w:rPr>
          <w:b/>
          <w:sz w:val="20"/>
          <w:lang w:val="sv-SE"/>
        </w:rPr>
        <w:lastRenderedPageBreak/>
        <w:t xml:space="preserve">Tabel 4.  </w:t>
      </w:r>
      <w:proofErr w:type="spellStart"/>
      <w:r w:rsidRPr="0028345D">
        <w:rPr>
          <w:sz w:val="20"/>
        </w:rPr>
        <w:t>Jumlah</w:t>
      </w:r>
      <w:proofErr w:type="spellEnd"/>
      <w:r w:rsidRPr="0028345D">
        <w:rPr>
          <w:sz w:val="20"/>
        </w:rPr>
        <w:t xml:space="preserve"> </w:t>
      </w:r>
      <w:proofErr w:type="spellStart"/>
      <w:r w:rsidRPr="0028345D">
        <w:rPr>
          <w:sz w:val="20"/>
        </w:rPr>
        <w:t>Skor</w:t>
      </w:r>
      <w:proofErr w:type="spellEnd"/>
      <w:r w:rsidRPr="0028345D">
        <w:rPr>
          <w:sz w:val="20"/>
        </w:rPr>
        <w:t xml:space="preserve"> </w:t>
      </w:r>
      <w:proofErr w:type="spellStart"/>
      <w:r w:rsidRPr="0028345D">
        <w:rPr>
          <w:sz w:val="20"/>
        </w:rPr>
        <w:t>Kriteria</w:t>
      </w:r>
      <w:proofErr w:type="spellEnd"/>
      <w:r w:rsidRPr="0028345D">
        <w:rPr>
          <w:sz w:val="20"/>
        </w:rPr>
        <w:t xml:space="preserve"> </w:t>
      </w:r>
      <w:proofErr w:type="spellStart"/>
      <w:r w:rsidRPr="0028345D">
        <w:rPr>
          <w:sz w:val="20"/>
        </w:rPr>
        <w:t>untuk</w:t>
      </w:r>
      <w:proofErr w:type="spellEnd"/>
      <w:r w:rsidRPr="0028345D">
        <w:rPr>
          <w:sz w:val="20"/>
        </w:rPr>
        <w:t xml:space="preserve"> </w:t>
      </w:r>
      <w:proofErr w:type="spellStart"/>
      <w:r w:rsidRPr="0028345D">
        <w:rPr>
          <w:sz w:val="20"/>
        </w:rPr>
        <w:t>Ketiga</w:t>
      </w:r>
      <w:proofErr w:type="spellEnd"/>
      <w:r w:rsidRPr="0028345D">
        <w:rPr>
          <w:sz w:val="20"/>
        </w:rPr>
        <w:t xml:space="preserve"> S</w:t>
      </w:r>
      <w:r w:rsidRPr="0028345D">
        <w:rPr>
          <w:i/>
          <w:sz w:val="20"/>
        </w:rPr>
        <w:t>upplier</w:t>
      </w:r>
    </w:p>
    <w:tbl>
      <w:tblPr>
        <w:tblW w:w="8640" w:type="dxa"/>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38"/>
        <w:gridCol w:w="2068"/>
        <w:gridCol w:w="2068"/>
        <w:gridCol w:w="2166"/>
      </w:tblGrid>
      <w:tr w:rsidR="00206460" w:rsidRPr="007C7CD6" w:rsidTr="00F02680">
        <w:trPr>
          <w:trHeight w:val="308"/>
          <w:jc w:val="center"/>
        </w:trPr>
        <w:tc>
          <w:tcPr>
            <w:tcW w:w="2338" w:type="dxa"/>
            <w:tcBorders>
              <w:bottom w:val="single" w:sz="4" w:space="0" w:color="auto"/>
            </w:tcBorders>
            <w:shd w:val="clear" w:color="auto" w:fill="auto"/>
            <w:noWrap/>
            <w:vAlign w:val="bottom"/>
            <w:hideMark/>
          </w:tcPr>
          <w:p w:rsidR="00206460" w:rsidRPr="00357C78" w:rsidRDefault="00206460" w:rsidP="00F02680">
            <w:pPr>
              <w:jc w:val="center"/>
              <w:rPr>
                <w:b/>
                <w:color w:val="000000"/>
                <w:sz w:val="20"/>
                <w:szCs w:val="20"/>
                <w:lang w:eastAsia="id-ID"/>
              </w:rPr>
            </w:pPr>
            <w:r w:rsidRPr="00357C78">
              <w:rPr>
                <w:b/>
                <w:color w:val="000000"/>
                <w:sz w:val="20"/>
                <w:szCs w:val="20"/>
                <w:lang w:eastAsia="id-ID"/>
              </w:rPr>
              <w:t>Kriteria</w:t>
            </w:r>
          </w:p>
        </w:tc>
        <w:tc>
          <w:tcPr>
            <w:tcW w:w="2068" w:type="dxa"/>
            <w:tcBorders>
              <w:bottom w:val="single" w:sz="4" w:space="0" w:color="auto"/>
            </w:tcBorders>
            <w:shd w:val="clear" w:color="auto" w:fill="auto"/>
            <w:noWrap/>
            <w:vAlign w:val="bottom"/>
            <w:hideMark/>
          </w:tcPr>
          <w:p w:rsidR="00206460" w:rsidRPr="00357C78" w:rsidRDefault="00206460" w:rsidP="00F02680">
            <w:pPr>
              <w:jc w:val="center"/>
              <w:rPr>
                <w:b/>
                <w:color w:val="000000"/>
                <w:sz w:val="20"/>
                <w:szCs w:val="20"/>
                <w:lang w:eastAsia="id-ID"/>
              </w:rPr>
            </w:pPr>
            <w:r w:rsidRPr="00357C78">
              <w:rPr>
                <w:b/>
                <w:color w:val="000000"/>
                <w:sz w:val="20"/>
                <w:szCs w:val="20"/>
                <w:lang w:eastAsia="id-ID"/>
              </w:rPr>
              <w:t>UD. Minang Jaya</w:t>
            </w:r>
          </w:p>
        </w:tc>
        <w:tc>
          <w:tcPr>
            <w:tcW w:w="2068" w:type="dxa"/>
            <w:tcBorders>
              <w:bottom w:val="single" w:sz="4" w:space="0" w:color="auto"/>
            </w:tcBorders>
            <w:shd w:val="clear" w:color="auto" w:fill="auto"/>
            <w:noWrap/>
            <w:vAlign w:val="bottom"/>
            <w:hideMark/>
          </w:tcPr>
          <w:p w:rsidR="00206460" w:rsidRPr="00357C78" w:rsidRDefault="00206460" w:rsidP="00F02680">
            <w:pPr>
              <w:jc w:val="center"/>
              <w:rPr>
                <w:b/>
                <w:color w:val="000000"/>
                <w:sz w:val="20"/>
                <w:szCs w:val="20"/>
                <w:lang w:eastAsia="id-ID"/>
              </w:rPr>
            </w:pPr>
            <w:r w:rsidRPr="00357C78">
              <w:rPr>
                <w:b/>
                <w:color w:val="000000"/>
                <w:sz w:val="20"/>
                <w:szCs w:val="20"/>
                <w:lang w:eastAsia="id-ID"/>
              </w:rPr>
              <w:t>CV. Yudi Contractor</w:t>
            </w:r>
          </w:p>
        </w:tc>
        <w:tc>
          <w:tcPr>
            <w:tcW w:w="2166" w:type="dxa"/>
            <w:tcBorders>
              <w:bottom w:val="single" w:sz="4" w:space="0" w:color="auto"/>
            </w:tcBorders>
            <w:shd w:val="clear" w:color="auto" w:fill="auto"/>
            <w:noWrap/>
            <w:vAlign w:val="bottom"/>
            <w:hideMark/>
          </w:tcPr>
          <w:p w:rsidR="00206460" w:rsidRPr="00357C78" w:rsidRDefault="00206460" w:rsidP="00F02680">
            <w:pPr>
              <w:jc w:val="center"/>
              <w:rPr>
                <w:b/>
                <w:color w:val="000000"/>
                <w:sz w:val="20"/>
                <w:szCs w:val="20"/>
                <w:lang w:eastAsia="id-ID"/>
              </w:rPr>
            </w:pPr>
            <w:r w:rsidRPr="00357C78">
              <w:rPr>
                <w:b/>
                <w:color w:val="000000"/>
                <w:sz w:val="20"/>
                <w:szCs w:val="20"/>
                <w:lang w:eastAsia="id-ID"/>
              </w:rPr>
              <w:t>CV. Patamuan Indah</w:t>
            </w:r>
          </w:p>
        </w:tc>
      </w:tr>
      <w:tr w:rsidR="00206460" w:rsidRPr="007C7CD6" w:rsidTr="00F02680">
        <w:trPr>
          <w:trHeight w:val="308"/>
          <w:jc w:val="center"/>
        </w:trPr>
        <w:tc>
          <w:tcPr>
            <w:tcW w:w="2338" w:type="dxa"/>
            <w:tcBorders>
              <w:bottom w:val="nil"/>
            </w:tcBorders>
            <w:shd w:val="clear" w:color="auto" w:fill="auto"/>
            <w:noWrap/>
            <w:vAlign w:val="bottom"/>
            <w:hideMark/>
          </w:tcPr>
          <w:p w:rsidR="00206460" w:rsidRPr="00A9740B" w:rsidRDefault="00206460" w:rsidP="00F02680">
            <w:pPr>
              <w:rPr>
                <w:i/>
                <w:color w:val="000000"/>
                <w:sz w:val="20"/>
                <w:szCs w:val="20"/>
                <w:lang w:eastAsia="id-ID"/>
              </w:rPr>
            </w:pPr>
            <w:r w:rsidRPr="00A9740B">
              <w:rPr>
                <w:i/>
                <w:color w:val="000000"/>
                <w:sz w:val="20"/>
                <w:szCs w:val="20"/>
                <w:lang w:eastAsia="id-ID"/>
              </w:rPr>
              <w:t>Quality</w:t>
            </w:r>
          </w:p>
        </w:tc>
        <w:tc>
          <w:tcPr>
            <w:tcW w:w="2068" w:type="dxa"/>
            <w:tcBorders>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37,5%</w:t>
            </w:r>
          </w:p>
        </w:tc>
        <w:tc>
          <w:tcPr>
            <w:tcW w:w="2068" w:type="dxa"/>
            <w:tcBorders>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40,0%</w:t>
            </w:r>
          </w:p>
        </w:tc>
        <w:tc>
          <w:tcPr>
            <w:tcW w:w="2166" w:type="dxa"/>
            <w:tcBorders>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37,5%</w:t>
            </w:r>
          </w:p>
        </w:tc>
      </w:tr>
      <w:tr w:rsidR="00206460" w:rsidRPr="007C7CD6" w:rsidTr="00F02680">
        <w:trPr>
          <w:trHeight w:val="308"/>
          <w:jc w:val="center"/>
        </w:trPr>
        <w:tc>
          <w:tcPr>
            <w:tcW w:w="2338" w:type="dxa"/>
            <w:tcBorders>
              <w:top w:val="nil"/>
              <w:bottom w:val="nil"/>
            </w:tcBorders>
            <w:shd w:val="clear" w:color="auto" w:fill="auto"/>
            <w:noWrap/>
            <w:vAlign w:val="bottom"/>
            <w:hideMark/>
          </w:tcPr>
          <w:p w:rsidR="00206460" w:rsidRPr="00A9740B" w:rsidRDefault="00206460" w:rsidP="00F02680">
            <w:pPr>
              <w:rPr>
                <w:i/>
                <w:color w:val="000000"/>
                <w:sz w:val="20"/>
                <w:szCs w:val="20"/>
                <w:lang w:eastAsia="id-ID"/>
              </w:rPr>
            </w:pPr>
            <w:r w:rsidRPr="00A9740B">
              <w:rPr>
                <w:i/>
                <w:color w:val="000000"/>
                <w:sz w:val="20"/>
                <w:szCs w:val="20"/>
                <w:lang w:eastAsia="id-ID"/>
              </w:rPr>
              <w:t>Cost</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15,0%</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15,0%</w:t>
            </w:r>
          </w:p>
        </w:tc>
        <w:tc>
          <w:tcPr>
            <w:tcW w:w="2166"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15,0%</w:t>
            </w:r>
          </w:p>
        </w:tc>
      </w:tr>
      <w:tr w:rsidR="00206460" w:rsidRPr="007C7CD6" w:rsidTr="00F02680">
        <w:trPr>
          <w:trHeight w:val="308"/>
          <w:jc w:val="center"/>
        </w:trPr>
        <w:tc>
          <w:tcPr>
            <w:tcW w:w="2338" w:type="dxa"/>
            <w:tcBorders>
              <w:top w:val="nil"/>
              <w:bottom w:val="nil"/>
            </w:tcBorders>
            <w:shd w:val="clear" w:color="auto" w:fill="auto"/>
            <w:noWrap/>
            <w:vAlign w:val="bottom"/>
            <w:hideMark/>
          </w:tcPr>
          <w:p w:rsidR="00206460" w:rsidRPr="00A9740B" w:rsidRDefault="00206460" w:rsidP="00F02680">
            <w:pPr>
              <w:rPr>
                <w:i/>
                <w:color w:val="000000"/>
                <w:sz w:val="20"/>
                <w:szCs w:val="20"/>
                <w:lang w:eastAsia="id-ID"/>
              </w:rPr>
            </w:pPr>
            <w:r w:rsidRPr="00A9740B">
              <w:rPr>
                <w:i/>
                <w:color w:val="000000"/>
                <w:sz w:val="20"/>
                <w:szCs w:val="20"/>
                <w:lang w:eastAsia="id-ID"/>
              </w:rPr>
              <w:t>Delivery</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8,0%</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8,5%</w:t>
            </w:r>
          </w:p>
        </w:tc>
        <w:tc>
          <w:tcPr>
            <w:tcW w:w="2166"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8,0%</w:t>
            </w:r>
          </w:p>
        </w:tc>
      </w:tr>
      <w:tr w:rsidR="00206460" w:rsidRPr="007C7CD6" w:rsidTr="00F02680">
        <w:trPr>
          <w:trHeight w:val="308"/>
          <w:jc w:val="center"/>
        </w:trPr>
        <w:tc>
          <w:tcPr>
            <w:tcW w:w="2338" w:type="dxa"/>
            <w:tcBorders>
              <w:top w:val="nil"/>
              <w:bottom w:val="nil"/>
            </w:tcBorders>
            <w:shd w:val="clear" w:color="auto" w:fill="auto"/>
            <w:noWrap/>
            <w:vAlign w:val="bottom"/>
            <w:hideMark/>
          </w:tcPr>
          <w:p w:rsidR="00206460" w:rsidRPr="00A9740B" w:rsidRDefault="00206460" w:rsidP="00F02680">
            <w:pPr>
              <w:rPr>
                <w:i/>
                <w:color w:val="000000"/>
                <w:sz w:val="20"/>
                <w:szCs w:val="20"/>
                <w:lang w:eastAsia="id-ID"/>
              </w:rPr>
            </w:pPr>
            <w:r w:rsidRPr="00A9740B">
              <w:rPr>
                <w:i/>
                <w:color w:val="000000"/>
                <w:sz w:val="20"/>
                <w:szCs w:val="20"/>
                <w:lang w:eastAsia="id-ID"/>
              </w:rPr>
              <w:t>Flexibility</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7,2%</w:t>
            </w:r>
          </w:p>
        </w:tc>
        <w:tc>
          <w:tcPr>
            <w:tcW w:w="2068"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7,6%</w:t>
            </w:r>
          </w:p>
        </w:tc>
        <w:tc>
          <w:tcPr>
            <w:tcW w:w="2166" w:type="dxa"/>
            <w:tcBorders>
              <w:top w:val="nil"/>
              <w:bottom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8,0%</w:t>
            </w:r>
          </w:p>
        </w:tc>
      </w:tr>
      <w:tr w:rsidR="00206460" w:rsidRPr="007C7CD6" w:rsidTr="00F02680">
        <w:trPr>
          <w:trHeight w:val="308"/>
          <w:jc w:val="center"/>
        </w:trPr>
        <w:tc>
          <w:tcPr>
            <w:tcW w:w="2338" w:type="dxa"/>
            <w:tcBorders>
              <w:top w:val="nil"/>
            </w:tcBorders>
            <w:shd w:val="clear" w:color="auto" w:fill="auto"/>
            <w:noWrap/>
            <w:vAlign w:val="bottom"/>
            <w:hideMark/>
          </w:tcPr>
          <w:p w:rsidR="00206460" w:rsidRPr="00A9740B" w:rsidRDefault="00206460" w:rsidP="00F02680">
            <w:pPr>
              <w:rPr>
                <w:i/>
                <w:color w:val="000000"/>
                <w:sz w:val="20"/>
                <w:szCs w:val="20"/>
                <w:lang w:eastAsia="id-ID"/>
              </w:rPr>
            </w:pPr>
            <w:r w:rsidRPr="00A9740B">
              <w:rPr>
                <w:i/>
                <w:color w:val="000000"/>
                <w:sz w:val="20"/>
                <w:szCs w:val="20"/>
                <w:lang w:eastAsia="id-ID"/>
              </w:rPr>
              <w:t>Responsive</w:t>
            </w:r>
            <w:r>
              <w:rPr>
                <w:i/>
                <w:color w:val="000000"/>
                <w:sz w:val="20"/>
                <w:szCs w:val="20"/>
                <w:lang w:eastAsia="id-ID"/>
              </w:rPr>
              <w:t>ness</w:t>
            </w:r>
          </w:p>
        </w:tc>
        <w:tc>
          <w:tcPr>
            <w:tcW w:w="2068" w:type="dxa"/>
            <w:tcBorders>
              <w:top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7,0%</w:t>
            </w:r>
          </w:p>
        </w:tc>
        <w:tc>
          <w:tcPr>
            <w:tcW w:w="2068" w:type="dxa"/>
            <w:tcBorders>
              <w:top w:val="nil"/>
            </w:tcBorders>
            <w:shd w:val="clear" w:color="auto" w:fill="auto"/>
            <w:noWrap/>
            <w:vAlign w:val="bottom"/>
            <w:hideMark/>
          </w:tcPr>
          <w:p w:rsidR="00206460" w:rsidRPr="0028345D" w:rsidRDefault="00206460" w:rsidP="00F02680">
            <w:pPr>
              <w:pStyle w:val="visited"/>
              <w:spacing w:before="0" w:beforeAutospacing="0" w:after="0" w:afterAutospacing="0"/>
              <w:jc w:val="both"/>
              <w:rPr>
                <w:sz w:val="20"/>
                <w:lang w:val="sv-SE"/>
              </w:rPr>
            </w:pPr>
          </w:p>
          <w:p w:rsidR="00206460" w:rsidRPr="007C7CD6" w:rsidRDefault="00206460" w:rsidP="00F02680">
            <w:pPr>
              <w:jc w:val="right"/>
              <w:rPr>
                <w:color w:val="000000"/>
                <w:sz w:val="20"/>
                <w:szCs w:val="20"/>
                <w:lang w:eastAsia="id-ID"/>
              </w:rPr>
            </w:pPr>
            <w:r w:rsidRPr="007C7CD6">
              <w:rPr>
                <w:color w:val="000000"/>
                <w:sz w:val="20"/>
                <w:szCs w:val="20"/>
                <w:lang w:eastAsia="id-ID"/>
              </w:rPr>
              <w:t>7,6%</w:t>
            </w:r>
          </w:p>
        </w:tc>
        <w:tc>
          <w:tcPr>
            <w:tcW w:w="2166" w:type="dxa"/>
            <w:tcBorders>
              <w:top w:val="nil"/>
            </w:tcBorders>
            <w:shd w:val="clear" w:color="auto" w:fill="auto"/>
            <w:noWrap/>
            <w:vAlign w:val="bottom"/>
            <w:hideMark/>
          </w:tcPr>
          <w:p w:rsidR="00206460" w:rsidRPr="007C7CD6" w:rsidRDefault="00206460" w:rsidP="00F02680">
            <w:pPr>
              <w:jc w:val="right"/>
              <w:rPr>
                <w:color w:val="000000"/>
                <w:sz w:val="20"/>
                <w:szCs w:val="20"/>
                <w:lang w:eastAsia="id-ID"/>
              </w:rPr>
            </w:pPr>
            <w:r w:rsidRPr="007C7CD6">
              <w:rPr>
                <w:color w:val="000000"/>
                <w:sz w:val="20"/>
                <w:szCs w:val="20"/>
                <w:lang w:eastAsia="id-ID"/>
              </w:rPr>
              <w:t>7,6%</w:t>
            </w:r>
          </w:p>
        </w:tc>
      </w:tr>
    </w:tbl>
    <w:p w:rsidR="00206460" w:rsidRDefault="00206460" w:rsidP="00206460">
      <w:pPr>
        <w:spacing w:line="360" w:lineRule="auto"/>
        <w:ind w:left="284"/>
        <w:rPr>
          <w:b/>
          <w:lang w:val="sv-SE"/>
        </w:rPr>
      </w:pPr>
      <w:r w:rsidRPr="0028345D">
        <w:rPr>
          <w:i/>
          <w:sz w:val="20"/>
        </w:rPr>
        <w:t>Sumber : Diolah sendiri, 2015</w:t>
      </w:r>
      <w:r w:rsidRPr="000D27D7">
        <w:rPr>
          <w:b/>
          <w:lang w:val="sv-SE"/>
        </w:rPr>
        <w:tab/>
      </w:r>
    </w:p>
    <w:p w:rsidR="00206460" w:rsidRDefault="00206460" w:rsidP="0028345D">
      <w:pPr>
        <w:pStyle w:val="visited"/>
        <w:spacing w:before="0" w:beforeAutospacing="0" w:after="0" w:afterAutospacing="0"/>
        <w:jc w:val="both"/>
        <w:rPr>
          <w:lang w:val="sv-SE"/>
        </w:rPr>
        <w:sectPr w:rsidR="00206460" w:rsidSect="00AC0A17">
          <w:type w:val="continuous"/>
          <w:pgSz w:w="11907" w:h="16839" w:code="9"/>
          <w:pgMar w:top="1418" w:right="1418" w:bottom="1418" w:left="1701" w:header="680" w:footer="567" w:gutter="0"/>
          <w:pgNumType w:start="16"/>
          <w:cols w:space="720"/>
          <w:titlePg/>
          <w:docGrid w:linePitch="360"/>
        </w:sectPr>
      </w:pPr>
    </w:p>
    <w:p w:rsidR="0028345D" w:rsidRDefault="0028345D" w:rsidP="0028345D">
      <w:pPr>
        <w:jc w:val="both"/>
      </w:pPr>
      <w:r w:rsidRPr="009C72D0">
        <w:lastRenderedPageBreak/>
        <w:t xml:space="preserve">Dari hasil perhitungan diatas, maka diperoleh hasil total skor penilaian kinerja </w:t>
      </w:r>
      <w:r>
        <w:t>supplier</w:t>
      </w:r>
      <w:r w:rsidRPr="009C72D0">
        <w:t xml:space="preserve"> dari semua kriteria yaitu </w:t>
      </w:r>
      <w:r w:rsidRPr="00A9740B">
        <w:rPr>
          <w:i/>
        </w:rPr>
        <w:t>Quality + Cost + Delivery + Flexibility + Responsiveness,</w:t>
      </w:r>
      <w:r w:rsidRPr="009C72D0">
        <w:t xml:space="preserve"> total keseluruhannya adalah seperti tabel </w:t>
      </w:r>
      <w:r>
        <w:t xml:space="preserve">5 </w:t>
      </w:r>
      <w:r w:rsidRPr="009C72D0">
        <w:t>dibawah ini :</w:t>
      </w:r>
    </w:p>
    <w:p w:rsidR="0028345D" w:rsidRPr="00AA6BC3" w:rsidRDefault="0028345D" w:rsidP="0028345D">
      <w:pPr>
        <w:ind w:firstLine="720"/>
        <w:jc w:val="both"/>
        <w:rPr>
          <w:lang w:val="en-US"/>
        </w:rPr>
      </w:pPr>
    </w:p>
    <w:p w:rsidR="0028345D" w:rsidRPr="00B34426" w:rsidRDefault="0028345D" w:rsidP="0028345D">
      <w:pPr>
        <w:spacing w:line="360" w:lineRule="auto"/>
        <w:jc w:val="center"/>
        <w:rPr>
          <w:b/>
          <w:sz w:val="20"/>
        </w:rPr>
      </w:pPr>
      <w:r w:rsidRPr="00B34426">
        <w:rPr>
          <w:b/>
          <w:sz w:val="20"/>
        </w:rPr>
        <w:t xml:space="preserve">Tabel 5.  </w:t>
      </w:r>
      <w:r w:rsidRPr="00B34426">
        <w:rPr>
          <w:sz w:val="20"/>
        </w:rPr>
        <w:t>Total Skor Keseluruhan</w:t>
      </w:r>
    </w:p>
    <w:tbl>
      <w:tblPr>
        <w:tblW w:w="3975" w:type="dxa"/>
        <w:jc w:val="center"/>
        <w:tblInd w:w="-1243" w:type="dxa"/>
        <w:tblBorders>
          <w:top w:val="single" w:sz="4" w:space="0" w:color="auto"/>
          <w:bottom w:val="single" w:sz="4" w:space="0" w:color="auto"/>
          <w:insideH w:val="single" w:sz="4" w:space="0" w:color="auto"/>
        </w:tblBorders>
        <w:tblLook w:val="04A0" w:firstRow="1" w:lastRow="0" w:firstColumn="1" w:lastColumn="0" w:noHBand="0" w:noVBand="1"/>
      </w:tblPr>
      <w:tblGrid>
        <w:gridCol w:w="610"/>
        <w:gridCol w:w="1895"/>
        <w:gridCol w:w="1470"/>
      </w:tblGrid>
      <w:tr w:rsidR="0028345D" w:rsidRPr="00BB080A" w:rsidTr="00C37D6C">
        <w:trPr>
          <w:trHeight w:val="432"/>
          <w:jc w:val="center"/>
        </w:trPr>
        <w:tc>
          <w:tcPr>
            <w:tcW w:w="610" w:type="dxa"/>
            <w:tcBorders>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bookmarkStart w:id="0" w:name="_GoBack" w:colFirst="0" w:colLast="2"/>
            <w:r w:rsidRPr="00357C78">
              <w:rPr>
                <w:b/>
                <w:color w:val="000000"/>
                <w:sz w:val="20"/>
                <w:szCs w:val="20"/>
                <w:lang w:eastAsia="id-ID"/>
              </w:rPr>
              <w:t>No</w:t>
            </w:r>
          </w:p>
        </w:tc>
        <w:tc>
          <w:tcPr>
            <w:tcW w:w="1895" w:type="dxa"/>
            <w:tcBorders>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Nama Supplier</w:t>
            </w:r>
          </w:p>
        </w:tc>
        <w:tc>
          <w:tcPr>
            <w:tcW w:w="1470" w:type="dxa"/>
            <w:tcBorders>
              <w:bottom w:val="single" w:sz="4" w:space="0" w:color="auto"/>
            </w:tcBorders>
            <w:shd w:val="clear" w:color="auto" w:fill="auto"/>
            <w:noWrap/>
            <w:vAlign w:val="center"/>
            <w:hideMark/>
          </w:tcPr>
          <w:p w:rsidR="0028345D" w:rsidRPr="00357C78" w:rsidRDefault="0028345D" w:rsidP="00C37D6C">
            <w:pPr>
              <w:jc w:val="center"/>
              <w:rPr>
                <w:b/>
                <w:color w:val="000000"/>
                <w:sz w:val="20"/>
                <w:szCs w:val="20"/>
                <w:lang w:eastAsia="id-ID"/>
              </w:rPr>
            </w:pPr>
            <w:r w:rsidRPr="00357C78">
              <w:rPr>
                <w:b/>
                <w:color w:val="000000"/>
                <w:sz w:val="20"/>
                <w:szCs w:val="20"/>
                <w:lang w:eastAsia="id-ID"/>
              </w:rPr>
              <w:t xml:space="preserve">Skor </w:t>
            </w:r>
          </w:p>
        </w:tc>
      </w:tr>
      <w:bookmarkEnd w:id="0"/>
      <w:tr w:rsidR="0028345D" w:rsidRPr="00BB080A" w:rsidTr="00C37D6C">
        <w:trPr>
          <w:trHeight w:val="432"/>
          <w:jc w:val="center"/>
        </w:trPr>
        <w:tc>
          <w:tcPr>
            <w:tcW w:w="610" w:type="dxa"/>
            <w:tcBorders>
              <w:bottom w:val="nil"/>
            </w:tcBorders>
            <w:shd w:val="clear" w:color="auto" w:fill="auto"/>
            <w:noWrap/>
            <w:vAlign w:val="center"/>
            <w:hideMark/>
          </w:tcPr>
          <w:p w:rsidR="0028345D" w:rsidRPr="00BB080A" w:rsidRDefault="0028345D" w:rsidP="00C37D6C">
            <w:pPr>
              <w:jc w:val="center"/>
              <w:rPr>
                <w:color w:val="000000"/>
                <w:sz w:val="20"/>
                <w:szCs w:val="20"/>
                <w:lang w:eastAsia="id-ID"/>
              </w:rPr>
            </w:pPr>
            <w:r w:rsidRPr="00BB080A">
              <w:rPr>
                <w:color w:val="000000"/>
                <w:sz w:val="20"/>
                <w:szCs w:val="20"/>
                <w:lang w:eastAsia="id-ID"/>
              </w:rPr>
              <w:t>1</w:t>
            </w:r>
          </w:p>
        </w:tc>
        <w:tc>
          <w:tcPr>
            <w:tcW w:w="1895" w:type="dxa"/>
            <w:tcBorders>
              <w:bottom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UD. Minang Jaya</w:t>
            </w:r>
          </w:p>
        </w:tc>
        <w:tc>
          <w:tcPr>
            <w:tcW w:w="1470" w:type="dxa"/>
            <w:tcBorders>
              <w:bottom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74,7%</w:t>
            </w:r>
          </w:p>
        </w:tc>
      </w:tr>
      <w:tr w:rsidR="0028345D" w:rsidRPr="00BB080A" w:rsidTr="00C37D6C">
        <w:trPr>
          <w:trHeight w:val="432"/>
          <w:jc w:val="center"/>
        </w:trPr>
        <w:tc>
          <w:tcPr>
            <w:tcW w:w="610" w:type="dxa"/>
            <w:tcBorders>
              <w:top w:val="nil"/>
              <w:bottom w:val="nil"/>
            </w:tcBorders>
            <w:shd w:val="clear" w:color="auto" w:fill="auto"/>
            <w:noWrap/>
            <w:vAlign w:val="center"/>
            <w:hideMark/>
          </w:tcPr>
          <w:p w:rsidR="0028345D" w:rsidRPr="00BB080A" w:rsidRDefault="0028345D" w:rsidP="00C37D6C">
            <w:pPr>
              <w:jc w:val="center"/>
              <w:rPr>
                <w:color w:val="000000"/>
                <w:sz w:val="20"/>
                <w:szCs w:val="20"/>
                <w:lang w:eastAsia="id-ID"/>
              </w:rPr>
            </w:pPr>
            <w:r w:rsidRPr="00BB080A">
              <w:rPr>
                <w:color w:val="000000"/>
                <w:sz w:val="20"/>
                <w:szCs w:val="20"/>
                <w:lang w:eastAsia="id-ID"/>
              </w:rPr>
              <w:t>2</w:t>
            </w:r>
          </w:p>
        </w:tc>
        <w:tc>
          <w:tcPr>
            <w:tcW w:w="1895" w:type="dxa"/>
            <w:tcBorders>
              <w:top w:val="nil"/>
              <w:bottom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CV. Yudi Contractor</w:t>
            </w:r>
          </w:p>
        </w:tc>
        <w:tc>
          <w:tcPr>
            <w:tcW w:w="1470" w:type="dxa"/>
            <w:tcBorders>
              <w:top w:val="nil"/>
              <w:bottom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78,7%</w:t>
            </w:r>
          </w:p>
        </w:tc>
      </w:tr>
      <w:tr w:rsidR="0028345D" w:rsidRPr="00BB080A" w:rsidTr="00C37D6C">
        <w:trPr>
          <w:trHeight w:val="432"/>
          <w:jc w:val="center"/>
        </w:trPr>
        <w:tc>
          <w:tcPr>
            <w:tcW w:w="610" w:type="dxa"/>
            <w:tcBorders>
              <w:top w:val="nil"/>
            </w:tcBorders>
            <w:shd w:val="clear" w:color="auto" w:fill="auto"/>
            <w:noWrap/>
            <w:vAlign w:val="center"/>
            <w:hideMark/>
          </w:tcPr>
          <w:p w:rsidR="0028345D" w:rsidRPr="00BB080A" w:rsidRDefault="0028345D" w:rsidP="00C37D6C">
            <w:pPr>
              <w:jc w:val="center"/>
              <w:rPr>
                <w:color w:val="000000"/>
                <w:sz w:val="20"/>
                <w:szCs w:val="20"/>
                <w:lang w:eastAsia="id-ID"/>
              </w:rPr>
            </w:pPr>
            <w:r w:rsidRPr="00BB080A">
              <w:rPr>
                <w:color w:val="000000"/>
                <w:sz w:val="20"/>
                <w:szCs w:val="20"/>
                <w:lang w:eastAsia="id-ID"/>
              </w:rPr>
              <w:t>3</w:t>
            </w:r>
          </w:p>
        </w:tc>
        <w:tc>
          <w:tcPr>
            <w:tcW w:w="1895" w:type="dxa"/>
            <w:tcBorders>
              <w:top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CV. Patamuan Indah</w:t>
            </w:r>
          </w:p>
        </w:tc>
        <w:tc>
          <w:tcPr>
            <w:tcW w:w="1470" w:type="dxa"/>
            <w:tcBorders>
              <w:top w:val="nil"/>
            </w:tcBorders>
            <w:shd w:val="clear" w:color="auto" w:fill="auto"/>
            <w:noWrap/>
            <w:vAlign w:val="center"/>
            <w:hideMark/>
          </w:tcPr>
          <w:p w:rsidR="0028345D" w:rsidRPr="00BB080A" w:rsidRDefault="0028345D" w:rsidP="00C37D6C">
            <w:pPr>
              <w:rPr>
                <w:color w:val="000000"/>
                <w:sz w:val="20"/>
                <w:szCs w:val="20"/>
                <w:lang w:eastAsia="id-ID"/>
              </w:rPr>
            </w:pPr>
            <w:r w:rsidRPr="00BB080A">
              <w:rPr>
                <w:color w:val="000000"/>
                <w:sz w:val="20"/>
                <w:szCs w:val="20"/>
                <w:lang w:eastAsia="id-ID"/>
              </w:rPr>
              <w:t>76,1%</w:t>
            </w:r>
          </w:p>
        </w:tc>
      </w:tr>
    </w:tbl>
    <w:p w:rsidR="0028345D" w:rsidRPr="0028345D" w:rsidRDefault="0028345D" w:rsidP="0028345D">
      <w:pPr>
        <w:spacing w:line="360" w:lineRule="auto"/>
        <w:jc w:val="both"/>
        <w:rPr>
          <w:i/>
          <w:sz w:val="20"/>
        </w:rPr>
      </w:pPr>
      <w:r w:rsidRPr="0028345D">
        <w:rPr>
          <w:i/>
          <w:sz w:val="20"/>
        </w:rPr>
        <w:t>Sumber : Diolah Sendiri, 2015</w:t>
      </w:r>
    </w:p>
    <w:p w:rsidR="0028345D" w:rsidRDefault="0028345D" w:rsidP="0028345D">
      <w:pPr>
        <w:jc w:val="both"/>
        <w:rPr>
          <w:lang w:val="en-US"/>
        </w:rPr>
      </w:pPr>
      <w:r>
        <w:t xml:space="preserve">     </w:t>
      </w:r>
      <w:r>
        <w:rPr>
          <w:lang w:val="en-US"/>
        </w:rPr>
        <w:tab/>
      </w:r>
      <w:r w:rsidRPr="00A06B64">
        <w:t xml:space="preserve">Setelah dilakukan pembobotan berdasarkan perhitungan AHP, selanjutnya perlu dilakukan </w:t>
      </w:r>
      <w:r w:rsidRPr="00A06B64">
        <w:rPr>
          <w:i/>
        </w:rPr>
        <w:t>Traffic Light System</w:t>
      </w:r>
      <w:r w:rsidRPr="00A06B64">
        <w:t xml:space="preserve"> dengan menggunakan tiga warna yaitu warna hijau dengan ambang batas lebih dari 90% yang artinya </w:t>
      </w:r>
      <w:r w:rsidRPr="00A9740B">
        <w:rPr>
          <w:i/>
        </w:rPr>
        <w:t xml:space="preserve">achievement </w:t>
      </w:r>
      <w:r w:rsidRPr="00A06B64">
        <w:t xml:space="preserve">dari suatu VPI sudah tercapai. Warna kuning dengan ambang batas 60% - 90% artinya </w:t>
      </w:r>
      <w:r w:rsidRPr="00A9740B">
        <w:rPr>
          <w:i/>
        </w:rPr>
        <w:t>achievement</w:t>
      </w:r>
      <w:r w:rsidRPr="00A06B64">
        <w:t xml:space="preserve"> dari VPI belum tercapai meskipun nilainya sudah mendekati target. Dan warna merah yaitu dengan ambang batas kurang dari 60% yang artinya </w:t>
      </w:r>
      <w:r w:rsidRPr="00A9740B">
        <w:rPr>
          <w:i/>
        </w:rPr>
        <w:t>achievement</w:t>
      </w:r>
      <w:r w:rsidRPr="00A06B64">
        <w:t xml:space="preserve"> memerlukan perbaikan segera.</w:t>
      </w:r>
    </w:p>
    <w:p w:rsidR="0028345D" w:rsidRPr="00EE0553" w:rsidRDefault="0028345D" w:rsidP="0028345D">
      <w:pPr>
        <w:jc w:val="both"/>
        <w:rPr>
          <w:lang w:val="en-US"/>
        </w:rPr>
      </w:pPr>
    </w:p>
    <w:p w:rsidR="0028345D" w:rsidRPr="00AA6BC3" w:rsidRDefault="0028345D" w:rsidP="0028345D">
      <w:pPr>
        <w:jc w:val="both"/>
        <w:rPr>
          <w:b/>
          <w:i/>
        </w:rPr>
      </w:pPr>
      <w:r w:rsidRPr="00AA6BC3">
        <w:rPr>
          <w:b/>
          <w:i/>
        </w:rPr>
        <w:t>Tindak Lanjut Evaluasi Supplier</w:t>
      </w:r>
    </w:p>
    <w:p w:rsidR="0028345D" w:rsidRPr="00EE0553" w:rsidRDefault="0028345D" w:rsidP="0028345D">
      <w:pPr>
        <w:jc w:val="both"/>
        <w:rPr>
          <w:lang w:val="en-US"/>
        </w:rPr>
      </w:pPr>
      <w:r>
        <w:t xml:space="preserve">     </w:t>
      </w:r>
      <w:r>
        <w:rPr>
          <w:lang w:val="en-US"/>
        </w:rPr>
        <w:tab/>
      </w:r>
      <w:r w:rsidRPr="00A06B64">
        <w:t xml:space="preserve">Berdasarkan perhitungan diatas, dapat dilihat bahwa UD. Minang Jaya, CV. Yudi Contractor, dan CV. Patamuan Indah, sama-sama memiliki skor dibawah zona hijau (90%) tepatnya mereka berada pada zona kuning yaitu dengan rata-rata skor antara 60% - 90%. Hasil perhitungan </w:t>
      </w:r>
      <w:r w:rsidRPr="00A06B64">
        <w:lastRenderedPageBreak/>
        <w:t xml:space="preserve">ini dapat dijadikan bahan pertimbangan bagi perusahaan untuk mengevaluasi ketiga </w:t>
      </w:r>
      <w:r w:rsidRPr="00A9740B">
        <w:rPr>
          <w:i/>
        </w:rPr>
        <w:t>supplier</w:t>
      </w:r>
      <w:r w:rsidRPr="00A06B64">
        <w:t xml:space="preserve"> batu mangga agar kerja sama mereka dapat terus berjalan. Selain itu hasil evaluasi </w:t>
      </w:r>
      <w:r w:rsidRPr="00A9740B">
        <w:rPr>
          <w:i/>
        </w:rPr>
        <w:t xml:space="preserve">supplier </w:t>
      </w:r>
      <w:r w:rsidRPr="00A06B64">
        <w:t xml:space="preserve">ini menjadi hal yang sangat penting bagi PT. Igasar sendiri sebagai </w:t>
      </w:r>
      <w:r w:rsidRPr="00A9740B">
        <w:rPr>
          <w:i/>
        </w:rPr>
        <w:t>customer</w:t>
      </w:r>
      <w:r w:rsidRPr="00A06B64">
        <w:t xml:space="preserve"> dari ketiga </w:t>
      </w:r>
      <w:r w:rsidRPr="00A9740B">
        <w:rPr>
          <w:i/>
        </w:rPr>
        <w:t>supplier</w:t>
      </w:r>
      <w:r w:rsidRPr="00A06B64">
        <w:t xml:space="preserve"> batu mangga dalam meningkatkan k</w:t>
      </w:r>
      <w:r>
        <w:t>u</w:t>
      </w:r>
      <w:r w:rsidRPr="00A06B64">
        <w:t xml:space="preserve">alitas serta pelayanannya, sehingga tetap dapat bekerja sama dengan lebih baik dalam jangka waktu yang </w:t>
      </w:r>
      <w:r>
        <w:t>panjang.</w:t>
      </w:r>
    </w:p>
    <w:p w:rsidR="0028345D" w:rsidRPr="001B4C03" w:rsidRDefault="0028345D" w:rsidP="0028345D">
      <w:pPr>
        <w:ind w:firstLine="720"/>
        <w:jc w:val="both"/>
        <w:rPr>
          <w:lang w:val="en-US"/>
        </w:rPr>
      </w:pPr>
    </w:p>
    <w:p w:rsidR="0028345D" w:rsidRDefault="0028345D" w:rsidP="0028345D">
      <w:pPr>
        <w:rPr>
          <w:b/>
          <w:lang w:val="fi-FI"/>
        </w:rPr>
      </w:pPr>
      <w:r w:rsidRPr="0020780B">
        <w:rPr>
          <w:b/>
          <w:lang w:val="fi-FI"/>
        </w:rPr>
        <w:t xml:space="preserve">KESIMPULAN </w:t>
      </w:r>
    </w:p>
    <w:p w:rsidR="0028345D" w:rsidRDefault="0028345D" w:rsidP="0028345D">
      <w:pPr>
        <w:jc w:val="both"/>
      </w:pPr>
      <w:r>
        <w:t xml:space="preserve">     </w:t>
      </w:r>
      <w:r>
        <w:rPr>
          <w:lang w:val="en-US"/>
        </w:rPr>
        <w:tab/>
      </w:r>
      <w:r w:rsidRPr="00A06B64">
        <w:t xml:space="preserve">Perancangan sistem evaluasi </w:t>
      </w:r>
      <w:r w:rsidRPr="00A9740B">
        <w:rPr>
          <w:i/>
        </w:rPr>
        <w:t xml:space="preserve">supplier </w:t>
      </w:r>
      <w:r w:rsidRPr="00A06B64">
        <w:t xml:space="preserve">pada PT. Igasar terdapat 12 IKP sebagai indikator kinerja supplier batu mangga yaitu : unsur </w:t>
      </w:r>
      <w:r w:rsidRPr="00A9740B">
        <w:rPr>
          <w:i/>
        </w:rPr>
        <w:t>quality</w:t>
      </w:r>
      <w:r w:rsidRPr="00A06B64">
        <w:t xml:space="preserve"> meliputi ketepatan jenis bahan yang dikirimkan, dan ketepatan ukuran, unsur </w:t>
      </w:r>
      <w:r w:rsidRPr="00A9740B">
        <w:rPr>
          <w:i/>
        </w:rPr>
        <w:t>cost</w:t>
      </w:r>
      <w:r w:rsidRPr="00A06B64">
        <w:t xml:space="preserve"> meliputi harga barang, dan besaran potongan harga atau diskon, unsur </w:t>
      </w:r>
      <w:r w:rsidRPr="00A9740B">
        <w:rPr>
          <w:i/>
        </w:rPr>
        <w:t xml:space="preserve">delivery </w:t>
      </w:r>
      <w:r w:rsidRPr="00A06B64">
        <w:t xml:space="preserve">meliputi ketepatan kuantitas barang yang dikirimkan, dan ketepatan waktu pengiriman, unsur </w:t>
      </w:r>
      <w:r w:rsidRPr="00A9740B">
        <w:rPr>
          <w:i/>
        </w:rPr>
        <w:t xml:space="preserve">flexibility </w:t>
      </w:r>
      <w:r w:rsidRPr="00A06B64">
        <w:t xml:space="preserve">meliputi dipenuhinya perubahan jumlah material yang dipesan, dipenuhinya perubahan waktu pengiriman, dan dipenuhinya penggantian material yang tidak sesuai, unsur </w:t>
      </w:r>
      <w:r w:rsidRPr="00A9740B">
        <w:rPr>
          <w:i/>
        </w:rPr>
        <w:t xml:space="preserve">responsiveness </w:t>
      </w:r>
      <w:r w:rsidRPr="00A06B64">
        <w:t xml:space="preserve">meliputi </w:t>
      </w:r>
      <w:r>
        <w:rPr>
          <w:i/>
        </w:rPr>
        <w:t xml:space="preserve">supplier </w:t>
      </w:r>
      <w:r w:rsidRPr="00A06B64">
        <w:t xml:space="preserve">merespon masalah/keluhan, </w:t>
      </w:r>
      <w:r>
        <w:rPr>
          <w:i/>
        </w:rPr>
        <w:t>supplier</w:t>
      </w:r>
      <w:r w:rsidRPr="00A06B64">
        <w:t xml:space="preserve"> merespon perubahan jumlah permintaan, </w:t>
      </w:r>
      <w:r>
        <w:t>supplier</w:t>
      </w:r>
      <w:r w:rsidRPr="00A06B64">
        <w:t xml:space="preserve"> merespon perubahan jadwal pengiriman.</w:t>
      </w:r>
    </w:p>
    <w:p w:rsidR="0028345D" w:rsidRDefault="0028345D" w:rsidP="0028345D">
      <w:pPr>
        <w:jc w:val="both"/>
        <w:rPr>
          <w:lang w:val="en-US"/>
        </w:rPr>
      </w:pPr>
      <w:r>
        <w:t xml:space="preserve">     </w:t>
      </w:r>
      <w:r>
        <w:rPr>
          <w:lang w:val="en-US"/>
        </w:rPr>
        <w:tab/>
      </w:r>
      <w:r w:rsidRPr="00A06B64">
        <w:t xml:space="preserve">Kinerja dari ketiga </w:t>
      </w:r>
      <w:r w:rsidRPr="00A9740B">
        <w:rPr>
          <w:i/>
        </w:rPr>
        <w:t>supplier</w:t>
      </w:r>
      <w:r w:rsidRPr="00A06B64">
        <w:t xml:space="preserve"> batu mangga yang menjalani kerja sama dengan PT. Igasar yaitu UD. Minang Jaya, CV. Yudi Contractor, dan CV. Patamuan Indah, sama-sama memiliki </w:t>
      </w:r>
      <w:r w:rsidRPr="00A06B64">
        <w:lastRenderedPageBreak/>
        <w:t xml:space="preserve">skor akhir dibawah zona hijau (90%) tepatnya penilaian dari ketiga </w:t>
      </w:r>
      <w:r w:rsidRPr="00A9740B">
        <w:rPr>
          <w:i/>
        </w:rPr>
        <w:t xml:space="preserve">supplier </w:t>
      </w:r>
      <w:r w:rsidRPr="00A06B64">
        <w:t xml:space="preserve">tersebut berada pada zona kuning yang artinya kinerja dari ketiga </w:t>
      </w:r>
      <w:r w:rsidRPr="00A9740B">
        <w:rPr>
          <w:i/>
        </w:rPr>
        <w:t xml:space="preserve">supplier </w:t>
      </w:r>
      <w:r w:rsidRPr="00A06B64">
        <w:t xml:space="preserve">belum mencapai target perusahaan, dan hanya mendekati target. Dalam metode VPI atau bisa disebut juga IKP, meskipun skor dari kinerja </w:t>
      </w:r>
      <w:r w:rsidRPr="00A9740B">
        <w:rPr>
          <w:i/>
        </w:rPr>
        <w:t xml:space="preserve">supplier </w:t>
      </w:r>
      <w:r w:rsidRPr="00A06B64">
        <w:t>berada pada angka 89% tetap saja perusahaan tersebut berada pada zona kuning, dimana setia</w:t>
      </w:r>
      <w:r>
        <w:t>p</w:t>
      </w:r>
      <w:r w:rsidRPr="00A06B64">
        <w:t xml:space="preserve"> </w:t>
      </w:r>
      <w:r w:rsidRPr="00A9740B">
        <w:rPr>
          <w:i/>
        </w:rPr>
        <w:t>supplier</w:t>
      </w:r>
      <w:r w:rsidRPr="00A06B64">
        <w:t xml:space="preserve"> yang berada pada zona kuning berdasarkan hasil perhitungan masih memerlukan perbaikan atau evaluasi agar ketig</w:t>
      </w:r>
      <w:r>
        <w:t xml:space="preserve">a </w:t>
      </w:r>
      <w:r w:rsidRPr="00A9740B">
        <w:rPr>
          <w:i/>
        </w:rPr>
        <w:t>supplier</w:t>
      </w:r>
      <w:r>
        <w:t xml:space="preserve"> dapat meningkatkan ku</w:t>
      </w:r>
      <w:r w:rsidRPr="00A06B64">
        <w:t xml:space="preserve">alitas serta pelayanan yang mereka berikan kepada perusahaan. Sehingga tetap dapat bekerja sama dengan lebih baik dalam jangka </w:t>
      </w:r>
      <w:r>
        <w:t>panjang</w:t>
      </w:r>
      <w:r w:rsidRPr="00A06B64">
        <w:t>.</w:t>
      </w:r>
      <w:r>
        <w:t xml:space="preserve"> </w:t>
      </w:r>
      <w:r w:rsidRPr="00A06B64">
        <w:t>PT. Igasar memberikan target kepada supplier mengenai kr</w:t>
      </w:r>
      <w:r>
        <w:t xml:space="preserve">iteria </w:t>
      </w:r>
      <w:r w:rsidRPr="00A9740B">
        <w:rPr>
          <w:i/>
        </w:rPr>
        <w:t>Quality, Cost, Delivery, Flexibility, dan Responsiveness</w:t>
      </w:r>
      <w:r w:rsidRPr="00A06B64">
        <w:t xml:space="preserve"> yang terdiri dari 12 VPI atau IKP harus memenuhi target </w:t>
      </w:r>
      <w:r>
        <w:t xml:space="preserve">diatas </w:t>
      </w:r>
      <w:r w:rsidRPr="00A06B64">
        <w:t>90</w:t>
      </w:r>
      <w:r>
        <w:t xml:space="preserve"> %</w:t>
      </w:r>
      <w:r w:rsidRPr="00A06B64">
        <w:t>.</w:t>
      </w:r>
    </w:p>
    <w:p w:rsidR="0028345D" w:rsidRPr="00FF65FF" w:rsidRDefault="0028345D" w:rsidP="0028345D">
      <w:pPr>
        <w:jc w:val="both"/>
        <w:rPr>
          <w:lang w:val="en-US"/>
        </w:rPr>
      </w:pPr>
    </w:p>
    <w:p w:rsidR="0028345D" w:rsidRDefault="0028345D" w:rsidP="0028345D">
      <w:pPr>
        <w:autoSpaceDE w:val="0"/>
        <w:autoSpaceDN w:val="0"/>
        <w:adjustRightInd w:val="0"/>
        <w:ind w:left="357" w:hanging="357"/>
        <w:rPr>
          <w:b/>
          <w:lang w:val="sv-SE"/>
        </w:rPr>
      </w:pPr>
      <w:r>
        <w:rPr>
          <w:b/>
          <w:lang w:val="sv-SE"/>
        </w:rPr>
        <w:t>D</w:t>
      </w:r>
      <w:r w:rsidRPr="00513CB3">
        <w:rPr>
          <w:b/>
          <w:lang w:val="sv-SE"/>
        </w:rPr>
        <w:t>AFTAR</w:t>
      </w:r>
      <w:r>
        <w:rPr>
          <w:b/>
          <w:lang w:val="sv-SE"/>
        </w:rPr>
        <w:t xml:space="preserve"> PUSTAKA</w:t>
      </w:r>
    </w:p>
    <w:p w:rsidR="0028345D" w:rsidRPr="00513CB3" w:rsidRDefault="0028345D" w:rsidP="0028345D">
      <w:pPr>
        <w:autoSpaceDE w:val="0"/>
        <w:autoSpaceDN w:val="0"/>
        <w:adjustRightInd w:val="0"/>
        <w:ind w:left="357" w:hanging="357"/>
        <w:rPr>
          <w:b/>
          <w:lang w:val="sv-SE"/>
        </w:rPr>
      </w:pPr>
    </w:p>
    <w:p w:rsidR="0028345D" w:rsidRPr="008B1EB0" w:rsidRDefault="0028345D" w:rsidP="0028345D">
      <w:pPr>
        <w:ind w:left="426" w:hanging="426"/>
        <w:jc w:val="both"/>
        <w:rPr>
          <w:lang w:val="en-US"/>
        </w:rPr>
      </w:pPr>
      <w:r w:rsidRPr="001265D7">
        <w:t xml:space="preserve">Choy </w:t>
      </w:r>
      <w:r>
        <w:t xml:space="preserve">and Hartley. 1996. </w:t>
      </w:r>
      <w:r w:rsidRPr="001265D7">
        <w:t xml:space="preserve">An </w:t>
      </w:r>
      <w:r w:rsidRPr="00C104C6">
        <w:rPr>
          <w:i/>
        </w:rPr>
        <w:t>Exploration of Supplier Selection Practice Across the Supply Chain, Journal of Operation Management</w:t>
      </w:r>
      <w:r w:rsidRPr="001265D7">
        <w:t>, Volume 14, Number 14, pp. 333-343(11), Elesevier</w:t>
      </w:r>
      <w:r>
        <w:t>.</w:t>
      </w:r>
    </w:p>
    <w:p w:rsidR="0028345D" w:rsidRPr="001265D7" w:rsidRDefault="0028345D" w:rsidP="0028345D">
      <w:pPr>
        <w:ind w:left="426" w:hanging="426"/>
        <w:jc w:val="both"/>
      </w:pPr>
      <w:r w:rsidRPr="001265D7">
        <w:t>Ciptani</w:t>
      </w:r>
      <w:r>
        <w:t xml:space="preserve">, M, K. 2000. </w:t>
      </w:r>
      <w:r w:rsidRPr="00C104C6">
        <w:rPr>
          <w:i/>
        </w:rPr>
        <w:t>Balanced Scorecard Sebagai Pengukuran Kinerja Masa Depan</w:t>
      </w:r>
      <w:r w:rsidRPr="001265D7">
        <w:t>: Suatu Penga</w:t>
      </w:r>
      <w:r>
        <w:t>ntar</w:t>
      </w:r>
      <w:r w:rsidRPr="001265D7">
        <w:t>. Jurnal akuntansi dan keuangan Vol.2 ,No.1</w:t>
      </w:r>
    </w:p>
    <w:p w:rsidR="0028345D" w:rsidRPr="008B1EB0" w:rsidRDefault="0028345D" w:rsidP="0028345D">
      <w:pPr>
        <w:ind w:left="426" w:hanging="426"/>
        <w:jc w:val="both"/>
        <w:rPr>
          <w:lang w:val="en-US"/>
        </w:rPr>
      </w:pPr>
      <w:r w:rsidRPr="001265D7">
        <w:t xml:space="preserve">Dickson, G. W. </w:t>
      </w:r>
      <w:r>
        <w:t xml:space="preserve">1966. </w:t>
      </w:r>
      <w:r w:rsidRPr="00C104C6">
        <w:rPr>
          <w:i/>
        </w:rPr>
        <w:t>An Analysis of Vendor selection System and Decision</w:t>
      </w:r>
      <w:r w:rsidRPr="001265D7">
        <w:t>. Journal of Purchasing . Vol: 2, Issue: 1.</w:t>
      </w:r>
    </w:p>
    <w:p w:rsidR="0028345D" w:rsidRPr="008B1EB0" w:rsidRDefault="0028345D" w:rsidP="0028345D">
      <w:pPr>
        <w:ind w:left="426" w:hanging="426"/>
        <w:jc w:val="both"/>
        <w:rPr>
          <w:lang w:val="en-US"/>
        </w:rPr>
      </w:pPr>
      <w:r w:rsidRPr="001265D7">
        <w:t xml:space="preserve">Mahsun, M, 2006. </w:t>
      </w:r>
      <w:r w:rsidRPr="00C104C6">
        <w:rPr>
          <w:i/>
        </w:rPr>
        <w:t>Pengukuran Kinerja Sektor Publik</w:t>
      </w:r>
      <w:r w:rsidRPr="001265D7">
        <w:t xml:space="preserve">, Penerbit BPFE,Yogyakarta. </w:t>
      </w:r>
    </w:p>
    <w:p w:rsidR="0028345D" w:rsidRPr="008B1EB0" w:rsidRDefault="0028345D" w:rsidP="0028345D">
      <w:pPr>
        <w:ind w:left="426" w:hanging="426"/>
        <w:jc w:val="both"/>
        <w:rPr>
          <w:lang w:val="en-US"/>
        </w:rPr>
      </w:pPr>
      <w:r w:rsidRPr="001265D7">
        <w:t>Pujawan</w:t>
      </w:r>
      <w:r>
        <w:t>, I, N</w:t>
      </w:r>
      <w:r w:rsidRPr="001265D7">
        <w:t xml:space="preserve">. 2005. </w:t>
      </w:r>
      <w:r w:rsidRPr="00C104C6">
        <w:rPr>
          <w:i/>
        </w:rPr>
        <w:t>Supply Chain Management</w:t>
      </w:r>
      <w:r w:rsidRPr="001265D7">
        <w:t xml:space="preserve"> . Suarabaya: Penerbit  Guna Widya. </w:t>
      </w:r>
    </w:p>
    <w:p w:rsidR="0028345D" w:rsidRPr="008B1EB0" w:rsidRDefault="0028345D" w:rsidP="0028345D">
      <w:pPr>
        <w:ind w:left="426" w:hanging="426"/>
        <w:jc w:val="both"/>
        <w:rPr>
          <w:lang w:val="en-US"/>
        </w:rPr>
      </w:pPr>
      <w:r w:rsidRPr="001265D7">
        <w:t>S</w:t>
      </w:r>
      <w:r>
        <w:t>aaty</w:t>
      </w:r>
      <w:r w:rsidRPr="001265D7">
        <w:t xml:space="preserve">, </w:t>
      </w:r>
      <w:r>
        <w:t>T,</w:t>
      </w:r>
      <w:r w:rsidRPr="001265D7">
        <w:t xml:space="preserve"> L.</w:t>
      </w:r>
      <w:r>
        <w:t xml:space="preserve"> </w:t>
      </w:r>
      <w:r w:rsidRPr="001265D7">
        <w:t xml:space="preserve">1993. </w:t>
      </w:r>
      <w:r w:rsidRPr="00C104C6">
        <w:rPr>
          <w:i/>
        </w:rPr>
        <w:t xml:space="preserve">The Analytical Hierarchy Process: Planning, Priority Setting, Resource </w:t>
      </w:r>
      <w:r w:rsidRPr="00C104C6">
        <w:rPr>
          <w:i/>
        </w:rPr>
        <w:lastRenderedPageBreak/>
        <w:t>Allocation</w:t>
      </w:r>
      <w:r w:rsidRPr="001265D7">
        <w:t xml:space="preserve">. Pittsburgh:University of Pittsburgh Pers. </w:t>
      </w:r>
    </w:p>
    <w:p w:rsidR="0028345D" w:rsidRDefault="0028345D" w:rsidP="0028345D">
      <w:pPr>
        <w:ind w:left="426" w:hanging="426"/>
        <w:jc w:val="both"/>
        <w:rPr>
          <w:lang w:val="en-US"/>
        </w:rPr>
      </w:pPr>
      <w:r>
        <w:t xml:space="preserve">Sony, Y dkk. </w:t>
      </w:r>
      <w:r w:rsidRPr="001265D7">
        <w:t>2004</w:t>
      </w:r>
      <w:r>
        <w:t xml:space="preserve">. </w:t>
      </w:r>
      <w:r w:rsidRPr="00C104C6">
        <w:rPr>
          <w:i/>
        </w:rPr>
        <w:t>Petunjuk Praktis Penyusunan Balanced Scorecard : Menuju Organisasi Yang berfokus</w:t>
      </w:r>
      <w:r>
        <w:t xml:space="preserve"> </w:t>
      </w:r>
      <w:r w:rsidRPr="00C104C6">
        <w:rPr>
          <w:i/>
        </w:rPr>
        <w:t>Pada Strategi</w:t>
      </w:r>
      <w:r>
        <w:t>. P.T. Gramedia Pustaka Utama.</w:t>
      </w:r>
      <w:r w:rsidRPr="001265D7">
        <w:t xml:space="preserve"> Jakarta. </w:t>
      </w:r>
      <w:r>
        <w:rPr>
          <w:lang w:val="en-US"/>
        </w:rPr>
        <w:tab/>
      </w: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28345D" w:rsidRDefault="0028345D" w:rsidP="0028345D">
      <w:pPr>
        <w:ind w:left="426" w:hanging="426"/>
        <w:jc w:val="both"/>
        <w:rPr>
          <w:lang w:val="en-US"/>
        </w:rPr>
      </w:pPr>
    </w:p>
    <w:p w:rsidR="00B34426" w:rsidRPr="00FF65FF" w:rsidRDefault="00B34426" w:rsidP="00B34426">
      <w:pPr>
        <w:jc w:val="both"/>
        <w:rPr>
          <w:lang w:val="en-US"/>
        </w:rPr>
      </w:pPr>
    </w:p>
    <w:sectPr w:rsidR="00B34426" w:rsidRPr="00FF65FF" w:rsidSect="00AC0A17">
      <w:type w:val="continuous"/>
      <w:pgSz w:w="11907" w:h="16839" w:code="9"/>
      <w:pgMar w:top="1418" w:right="1418" w:bottom="1418" w:left="1701" w:header="680" w:footer="567" w:gutter="0"/>
      <w:pgNumType w:start="2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6F" w:rsidRDefault="00A2526F">
      <w:r>
        <w:separator/>
      </w:r>
    </w:p>
  </w:endnote>
  <w:endnote w:type="continuationSeparator" w:id="0">
    <w:p w:rsidR="00A2526F" w:rsidRDefault="00A2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84734782"/>
      <w:docPartObj>
        <w:docPartGallery w:val="Page Numbers (Bottom of Page)"/>
        <w:docPartUnique/>
      </w:docPartObj>
    </w:sdtPr>
    <w:sdtEndPr>
      <w:rPr>
        <w:noProof/>
      </w:rPr>
    </w:sdtEndPr>
    <w:sdtContent>
      <w:p w:rsidR="00B620CF" w:rsidRDefault="00B620CF" w:rsidP="00B44C95">
        <w:pPr>
          <w:pStyle w:val="Footer"/>
        </w:pPr>
        <w:r>
          <w:rPr>
            <w:noProof w:val="0"/>
          </w:rPr>
          <w:fldChar w:fldCharType="begin"/>
        </w:r>
        <w:r>
          <w:instrText xml:space="preserve"> PAGE   \* MERGEFORMAT </w:instrText>
        </w:r>
        <w:r>
          <w:rPr>
            <w:noProof w:val="0"/>
          </w:rPr>
          <w:fldChar w:fldCharType="separate"/>
        </w:r>
        <w:r w:rsidR="00357C78">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8787419"/>
      <w:docPartObj>
        <w:docPartGallery w:val="Page Numbers (Bottom of Page)"/>
        <w:docPartUnique/>
      </w:docPartObj>
    </w:sdtPr>
    <w:sdtEndPr>
      <w:rPr>
        <w:noProof/>
      </w:rPr>
    </w:sdtEndPr>
    <w:sdtContent>
      <w:p w:rsidR="00B44C95" w:rsidRDefault="00B44C95">
        <w:pPr>
          <w:pStyle w:val="Footer"/>
          <w:jc w:val="right"/>
        </w:pPr>
        <w:r>
          <w:rPr>
            <w:noProof w:val="0"/>
          </w:rPr>
          <w:fldChar w:fldCharType="begin"/>
        </w:r>
        <w:r>
          <w:instrText xml:space="preserve"> PAGE   \* MERGEFORMAT </w:instrText>
        </w:r>
        <w:r>
          <w:rPr>
            <w:noProof w:val="0"/>
          </w:rPr>
          <w:fldChar w:fldCharType="separate"/>
        </w:r>
        <w:r w:rsidR="00357C78">
          <w:t>17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0306203"/>
      <w:docPartObj>
        <w:docPartGallery w:val="Page Numbers (Bottom of Page)"/>
        <w:docPartUnique/>
      </w:docPartObj>
    </w:sdtPr>
    <w:sdtEndPr>
      <w:rPr>
        <w:noProof/>
      </w:rPr>
    </w:sdtEndPr>
    <w:sdtContent>
      <w:p w:rsidR="00B620CF" w:rsidRDefault="00B620CF" w:rsidP="00B34426">
        <w:pPr>
          <w:pStyle w:val="Footer"/>
          <w:jc w:val="right"/>
        </w:pPr>
        <w:r>
          <w:rPr>
            <w:noProof w:val="0"/>
          </w:rPr>
          <w:fldChar w:fldCharType="begin"/>
        </w:r>
        <w:r>
          <w:instrText xml:space="preserve"> PAGE   \* MERGEFORMAT </w:instrText>
        </w:r>
        <w:r>
          <w:rPr>
            <w:noProof w:val="0"/>
          </w:rPr>
          <w:fldChar w:fldCharType="separate"/>
        </w:r>
        <w:r w:rsidR="00357C78">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6F" w:rsidRDefault="00A2526F">
      <w:r>
        <w:separator/>
      </w:r>
    </w:p>
  </w:footnote>
  <w:footnote w:type="continuationSeparator" w:id="0">
    <w:p w:rsidR="00A2526F" w:rsidRDefault="00A2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9D" w:rsidRPr="00345138" w:rsidRDefault="00B6029D" w:rsidP="00B34426">
    <w:pPr>
      <w:pStyle w:val="Header"/>
      <w:tabs>
        <w:tab w:val="clear" w:pos="8640"/>
        <w:tab w:val="right" w:pos="8789"/>
      </w:tabs>
      <w:ind w:right="-1"/>
      <w:rPr>
        <w:sz w:val="20"/>
        <w:szCs w:val="20"/>
        <w:lang w:val="en-US"/>
      </w:rPr>
    </w:pPr>
    <w:r>
      <w:rPr>
        <w:sz w:val="20"/>
        <w:szCs w:val="20"/>
        <w:lang w:val="en-US"/>
      </w:rPr>
      <w:t>Peni, S, dkk.</w:t>
    </w:r>
    <w:r>
      <w:rPr>
        <w:sz w:val="20"/>
        <w:szCs w:val="20"/>
        <w:lang w:val="en-US"/>
      </w:rPr>
      <w:tab/>
    </w:r>
    <w:r>
      <w:rPr>
        <w:sz w:val="20"/>
        <w:szCs w:val="20"/>
        <w:lang w:val="en-US"/>
      </w:rPr>
      <w:tab/>
      <w:t>Sainti, 13(1), 2016</w:t>
    </w:r>
  </w:p>
  <w:p w:rsidR="00B6029D" w:rsidRDefault="00B60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0D" w:rsidRPr="00345138" w:rsidRDefault="0072060D" w:rsidP="00B34426">
    <w:pPr>
      <w:pStyle w:val="Header"/>
      <w:tabs>
        <w:tab w:val="clear" w:pos="8640"/>
        <w:tab w:val="right" w:pos="8789"/>
      </w:tabs>
      <w:ind w:right="-1"/>
      <w:rPr>
        <w:sz w:val="20"/>
        <w:szCs w:val="20"/>
        <w:lang w:val="en-US"/>
      </w:rPr>
    </w:pPr>
    <w:r>
      <w:rPr>
        <w:sz w:val="20"/>
        <w:szCs w:val="20"/>
        <w:lang w:val="en-US"/>
      </w:rPr>
      <w:t>Peni, S, dkk.</w:t>
    </w:r>
    <w:r>
      <w:rPr>
        <w:sz w:val="20"/>
        <w:szCs w:val="20"/>
        <w:lang w:val="en-US"/>
      </w:rPr>
      <w:tab/>
    </w:r>
    <w:r>
      <w:rPr>
        <w:sz w:val="20"/>
        <w:szCs w:val="20"/>
        <w:lang w:val="en-US"/>
      </w:rPr>
      <w:tab/>
      <w:t>Sainti, 13(1), 2016</w:t>
    </w:r>
  </w:p>
  <w:p w:rsidR="0072060D" w:rsidRDefault="00B44C95" w:rsidP="00B44C95">
    <w:pPr>
      <w:pStyle w:val="Header"/>
      <w:tabs>
        <w:tab w:val="clear" w:pos="4320"/>
        <w:tab w:val="clear" w:pos="8640"/>
        <w:tab w:val="left" w:pos="198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0D" w:rsidRPr="00615831" w:rsidRDefault="008B1013" w:rsidP="00B34426">
    <w:pPr>
      <w:pStyle w:val="Header"/>
      <w:tabs>
        <w:tab w:val="clear" w:pos="4320"/>
        <w:tab w:val="clear" w:pos="8640"/>
        <w:tab w:val="center" w:pos="4394"/>
        <w:tab w:val="right" w:pos="8789"/>
      </w:tabs>
      <w:ind w:right="-291"/>
      <w:rPr>
        <w:sz w:val="20"/>
        <w:lang w:val="en-US"/>
      </w:rPr>
    </w:pPr>
    <w:r>
      <w:rPr>
        <w:sz w:val="20"/>
        <w:lang w:val="en-US"/>
      </w:rPr>
      <w:t>Jurnal</w:t>
    </w:r>
    <w:r w:rsidR="0072060D">
      <w:rPr>
        <w:sz w:val="20"/>
        <w:lang w:val="en-US"/>
      </w:rPr>
      <w:t xml:space="preserve"> Teknologi Industri (SAINTI), Vol 13, No.1, 2016, </w:t>
    </w:r>
    <w:r w:rsidR="00B44C95">
      <w:rPr>
        <w:sz w:val="20"/>
        <w:lang w:val="en-US"/>
      </w:rPr>
      <w:t>15 - 22</w:t>
    </w:r>
    <w:r w:rsidR="0072060D" w:rsidRPr="00345138">
      <w:rPr>
        <w:sz w:val="20"/>
        <w:lang w:val="en-US"/>
      </w:rPr>
      <w:tab/>
    </w:r>
    <w:r w:rsidR="0072060D">
      <w:rPr>
        <w:sz w:val="20"/>
        <w:lang w:val="en-US"/>
      </w:rPr>
      <w:t>ISSN : 1829-7404</w:t>
    </w:r>
  </w:p>
  <w:p w:rsidR="0072060D" w:rsidRDefault="0072060D" w:rsidP="00B34426">
    <w:pPr>
      <w:pStyle w:val="Header"/>
      <w:tabs>
        <w:tab w:val="clear" w:pos="8640"/>
        <w:tab w:val="center" w:pos="4394"/>
        <w:tab w:val="right" w:pos="8788"/>
      </w:tabs>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9BA"/>
    <w:multiLevelType w:val="hybridMultilevel"/>
    <w:tmpl w:val="200A74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C1E3D"/>
    <w:multiLevelType w:val="hybridMultilevel"/>
    <w:tmpl w:val="8AE261CA"/>
    <w:lvl w:ilvl="0" w:tplc="EA160424">
      <w:start w:val="1"/>
      <w:numFmt w:val="low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31C74C1"/>
    <w:multiLevelType w:val="hybridMultilevel"/>
    <w:tmpl w:val="03CE54DC"/>
    <w:lvl w:ilvl="0" w:tplc="CD42D52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62671"/>
    <w:multiLevelType w:val="hybridMultilevel"/>
    <w:tmpl w:val="0D26D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1358"/>
    <w:multiLevelType w:val="multilevel"/>
    <w:tmpl w:val="E5265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08287F"/>
    <w:multiLevelType w:val="hybridMultilevel"/>
    <w:tmpl w:val="9B28DD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7E838E9"/>
    <w:multiLevelType w:val="hybridMultilevel"/>
    <w:tmpl w:val="9ED0233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E573D5B"/>
    <w:multiLevelType w:val="hybridMultilevel"/>
    <w:tmpl w:val="89C85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9663E"/>
    <w:multiLevelType w:val="multilevel"/>
    <w:tmpl w:val="65D61F7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7"/>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D8"/>
    <w:rsid w:val="00015174"/>
    <w:rsid w:val="00024D8C"/>
    <w:rsid w:val="00025328"/>
    <w:rsid w:val="00053608"/>
    <w:rsid w:val="00064115"/>
    <w:rsid w:val="00074FE7"/>
    <w:rsid w:val="0008355F"/>
    <w:rsid w:val="00084ADF"/>
    <w:rsid w:val="000A77D8"/>
    <w:rsid w:val="000C0118"/>
    <w:rsid w:val="000D27D7"/>
    <w:rsid w:val="001100B0"/>
    <w:rsid w:val="00110B17"/>
    <w:rsid w:val="00111503"/>
    <w:rsid w:val="0012232A"/>
    <w:rsid w:val="0018102F"/>
    <w:rsid w:val="001810DA"/>
    <w:rsid w:val="00190027"/>
    <w:rsid w:val="00196327"/>
    <w:rsid w:val="001A1064"/>
    <w:rsid w:val="001B16A6"/>
    <w:rsid w:val="001B4C03"/>
    <w:rsid w:val="001B6725"/>
    <w:rsid w:val="001D7E51"/>
    <w:rsid w:val="00200E15"/>
    <w:rsid w:val="00206460"/>
    <w:rsid w:val="0020780B"/>
    <w:rsid w:val="002328A3"/>
    <w:rsid w:val="00235D8A"/>
    <w:rsid w:val="002507B3"/>
    <w:rsid w:val="00254E94"/>
    <w:rsid w:val="00262360"/>
    <w:rsid w:val="00271CAB"/>
    <w:rsid w:val="0028345D"/>
    <w:rsid w:val="002B324A"/>
    <w:rsid w:val="002C5043"/>
    <w:rsid w:val="002D5A30"/>
    <w:rsid w:val="002F0361"/>
    <w:rsid w:val="002F0864"/>
    <w:rsid w:val="002F0D7D"/>
    <w:rsid w:val="002F767A"/>
    <w:rsid w:val="00320011"/>
    <w:rsid w:val="003270E2"/>
    <w:rsid w:val="0035246C"/>
    <w:rsid w:val="00357C78"/>
    <w:rsid w:val="0036188D"/>
    <w:rsid w:val="00374374"/>
    <w:rsid w:val="0039457D"/>
    <w:rsid w:val="003C5535"/>
    <w:rsid w:val="003D2B75"/>
    <w:rsid w:val="003E7399"/>
    <w:rsid w:val="003F3D08"/>
    <w:rsid w:val="003F7AB0"/>
    <w:rsid w:val="004219E6"/>
    <w:rsid w:val="00433C4A"/>
    <w:rsid w:val="00441570"/>
    <w:rsid w:val="0044157C"/>
    <w:rsid w:val="00443DE7"/>
    <w:rsid w:val="004649DC"/>
    <w:rsid w:val="00465166"/>
    <w:rsid w:val="004B3E8D"/>
    <w:rsid w:val="004C38DB"/>
    <w:rsid w:val="004E6C83"/>
    <w:rsid w:val="004F1F01"/>
    <w:rsid w:val="004F243B"/>
    <w:rsid w:val="00513CB3"/>
    <w:rsid w:val="00525AF6"/>
    <w:rsid w:val="00526EEF"/>
    <w:rsid w:val="00534BF6"/>
    <w:rsid w:val="0054479D"/>
    <w:rsid w:val="00550712"/>
    <w:rsid w:val="00563FC7"/>
    <w:rsid w:val="005717D6"/>
    <w:rsid w:val="005841CA"/>
    <w:rsid w:val="005939B2"/>
    <w:rsid w:val="005A108B"/>
    <w:rsid w:val="005B782B"/>
    <w:rsid w:val="005C2D1E"/>
    <w:rsid w:val="005C4460"/>
    <w:rsid w:val="005D7213"/>
    <w:rsid w:val="005E60F0"/>
    <w:rsid w:val="005F4AF3"/>
    <w:rsid w:val="0062325C"/>
    <w:rsid w:val="0063608F"/>
    <w:rsid w:val="006434BA"/>
    <w:rsid w:val="00644A71"/>
    <w:rsid w:val="0066380A"/>
    <w:rsid w:val="00663F59"/>
    <w:rsid w:val="00673600"/>
    <w:rsid w:val="00677CB6"/>
    <w:rsid w:val="0068322D"/>
    <w:rsid w:val="006A04D3"/>
    <w:rsid w:val="006A4F57"/>
    <w:rsid w:val="006A665D"/>
    <w:rsid w:val="006B11AE"/>
    <w:rsid w:val="006E3D83"/>
    <w:rsid w:val="00700E97"/>
    <w:rsid w:val="00712279"/>
    <w:rsid w:val="007165F0"/>
    <w:rsid w:val="00716DF4"/>
    <w:rsid w:val="0072060D"/>
    <w:rsid w:val="00781DD3"/>
    <w:rsid w:val="007A4EC9"/>
    <w:rsid w:val="007C16A2"/>
    <w:rsid w:val="007E7038"/>
    <w:rsid w:val="00800A9B"/>
    <w:rsid w:val="008039C7"/>
    <w:rsid w:val="00821AF4"/>
    <w:rsid w:val="00832D1D"/>
    <w:rsid w:val="008337DF"/>
    <w:rsid w:val="00860E84"/>
    <w:rsid w:val="00876620"/>
    <w:rsid w:val="00886D86"/>
    <w:rsid w:val="008A5BEB"/>
    <w:rsid w:val="008A6D53"/>
    <w:rsid w:val="008B1013"/>
    <w:rsid w:val="008B1EB0"/>
    <w:rsid w:val="008C03FB"/>
    <w:rsid w:val="008C4F6F"/>
    <w:rsid w:val="00900217"/>
    <w:rsid w:val="0091259E"/>
    <w:rsid w:val="00914BF0"/>
    <w:rsid w:val="0092143D"/>
    <w:rsid w:val="00935AB4"/>
    <w:rsid w:val="00937BF9"/>
    <w:rsid w:val="0094569E"/>
    <w:rsid w:val="00950B32"/>
    <w:rsid w:val="009524DB"/>
    <w:rsid w:val="00961E4A"/>
    <w:rsid w:val="0096734C"/>
    <w:rsid w:val="00971409"/>
    <w:rsid w:val="00994DD2"/>
    <w:rsid w:val="00997769"/>
    <w:rsid w:val="009B65C7"/>
    <w:rsid w:val="009D23B4"/>
    <w:rsid w:val="009D3043"/>
    <w:rsid w:val="009D4843"/>
    <w:rsid w:val="00A06B64"/>
    <w:rsid w:val="00A2526F"/>
    <w:rsid w:val="00A50847"/>
    <w:rsid w:val="00A65615"/>
    <w:rsid w:val="00A72B6F"/>
    <w:rsid w:val="00A8373B"/>
    <w:rsid w:val="00A919FC"/>
    <w:rsid w:val="00A94193"/>
    <w:rsid w:val="00A9740B"/>
    <w:rsid w:val="00AA4753"/>
    <w:rsid w:val="00AA67A4"/>
    <w:rsid w:val="00AA6BC3"/>
    <w:rsid w:val="00AC0A17"/>
    <w:rsid w:val="00AC3715"/>
    <w:rsid w:val="00AD7A0E"/>
    <w:rsid w:val="00AE6A94"/>
    <w:rsid w:val="00AF6633"/>
    <w:rsid w:val="00B1229D"/>
    <w:rsid w:val="00B17CE4"/>
    <w:rsid w:val="00B27B77"/>
    <w:rsid w:val="00B34426"/>
    <w:rsid w:val="00B42A17"/>
    <w:rsid w:val="00B44C95"/>
    <w:rsid w:val="00B56A78"/>
    <w:rsid w:val="00B6029D"/>
    <w:rsid w:val="00B620CF"/>
    <w:rsid w:val="00B62398"/>
    <w:rsid w:val="00B73D68"/>
    <w:rsid w:val="00B81FF5"/>
    <w:rsid w:val="00BA4AFD"/>
    <w:rsid w:val="00BB624F"/>
    <w:rsid w:val="00BD7DC9"/>
    <w:rsid w:val="00BE66E4"/>
    <w:rsid w:val="00BE6B54"/>
    <w:rsid w:val="00BF28C3"/>
    <w:rsid w:val="00BF2C11"/>
    <w:rsid w:val="00C0264B"/>
    <w:rsid w:val="00C03008"/>
    <w:rsid w:val="00C0753B"/>
    <w:rsid w:val="00C104C6"/>
    <w:rsid w:val="00C26732"/>
    <w:rsid w:val="00C324F7"/>
    <w:rsid w:val="00C47250"/>
    <w:rsid w:val="00C47E67"/>
    <w:rsid w:val="00C56766"/>
    <w:rsid w:val="00C6073E"/>
    <w:rsid w:val="00C61D94"/>
    <w:rsid w:val="00C6795C"/>
    <w:rsid w:val="00C72E27"/>
    <w:rsid w:val="00C731DF"/>
    <w:rsid w:val="00C87609"/>
    <w:rsid w:val="00CC4751"/>
    <w:rsid w:val="00CC7653"/>
    <w:rsid w:val="00CD3075"/>
    <w:rsid w:val="00CD592D"/>
    <w:rsid w:val="00CE37B0"/>
    <w:rsid w:val="00CE57B1"/>
    <w:rsid w:val="00D05CC7"/>
    <w:rsid w:val="00D27D56"/>
    <w:rsid w:val="00D8467F"/>
    <w:rsid w:val="00DA1BB0"/>
    <w:rsid w:val="00DA6080"/>
    <w:rsid w:val="00DA7D95"/>
    <w:rsid w:val="00DB30C0"/>
    <w:rsid w:val="00DC4115"/>
    <w:rsid w:val="00DD39E4"/>
    <w:rsid w:val="00DE22E0"/>
    <w:rsid w:val="00DE4572"/>
    <w:rsid w:val="00DE6036"/>
    <w:rsid w:val="00DE7E77"/>
    <w:rsid w:val="00DF40B2"/>
    <w:rsid w:val="00DF6E9B"/>
    <w:rsid w:val="00E12268"/>
    <w:rsid w:val="00E1540E"/>
    <w:rsid w:val="00E16B4C"/>
    <w:rsid w:val="00E367EC"/>
    <w:rsid w:val="00E46B39"/>
    <w:rsid w:val="00E477BD"/>
    <w:rsid w:val="00E66A4C"/>
    <w:rsid w:val="00EA31BB"/>
    <w:rsid w:val="00EC4604"/>
    <w:rsid w:val="00ED2145"/>
    <w:rsid w:val="00ED46A0"/>
    <w:rsid w:val="00EE0553"/>
    <w:rsid w:val="00EE3C35"/>
    <w:rsid w:val="00EF4B92"/>
    <w:rsid w:val="00F21F6D"/>
    <w:rsid w:val="00F24BB8"/>
    <w:rsid w:val="00F26147"/>
    <w:rsid w:val="00F27289"/>
    <w:rsid w:val="00F33DDF"/>
    <w:rsid w:val="00F45D3B"/>
    <w:rsid w:val="00F550D2"/>
    <w:rsid w:val="00F63F2E"/>
    <w:rsid w:val="00F70010"/>
    <w:rsid w:val="00F730A2"/>
    <w:rsid w:val="00F73C0B"/>
    <w:rsid w:val="00F76F68"/>
    <w:rsid w:val="00F777A7"/>
    <w:rsid w:val="00F810BF"/>
    <w:rsid w:val="00F865C0"/>
    <w:rsid w:val="00FA6C41"/>
    <w:rsid w:val="00FC29B1"/>
    <w:rsid w:val="00FE3359"/>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7D8"/>
    <w:pPr>
      <w:spacing w:before="100" w:beforeAutospacing="1" w:after="100" w:afterAutospacing="1"/>
    </w:pPr>
  </w:style>
  <w:style w:type="paragraph" w:styleId="ListParagraph">
    <w:name w:val="List Paragraph"/>
    <w:basedOn w:val="Normal"/>
    <w:link w:val="ListParagraphChar"/>
    <w:uiPriority w:val="34"/>
    <w:qFormat/>
    <w:rsid w:val="00111503"/>
    <w:pPr>
      <w:spacing w:after="200" w:line="276" w:lineRule="auto"/>
      <w:ind w:left="720"/>
    </w:pPr>
    <w:rPr>
      <w:rFonts w:ascii="Calibri" w:hAnsi="Calibri"/>
      <w:sz w:val="22"/>
      <w:szCs w:val="22"/>
    </w:rPr>
  </w:style>
  <w:style w:type="character" w:customStyle="1" w:styleId="normalsmall">
    <w:name w:val="normalsmall"/>
    <w:basedOn w:val="DefaultParagraphFont"/>
    <w:rsid w:val="00200E15"/>
  </w:style>
  <w:style w:type="paragraph" w:styleId="Footer">
    <w:name w:val="footer"/>
    <w:basedOn w:val="Normal"/>
    <w:link w:val="FooterChar"/>
    <w:uiPriority w:val="99"/>
    <w:rsid w:val="005D7213"/>
    <w:pPr>
      <w:tabs>
        <w:tab w:val="center" w:pos="4320"/>
        <w:tab w:val="right" w:pos="8640"/>
      </w:tabs>
    </w:pPr>
  </w:style>
  <w:style w:type="character" w:styleId="PageNumber">
    <w:name w:val="page number"/>
    <w:basedOn w:val="DefaultParagraphFont"/>
    <w:rsid w:val="005D7213"/>
  </w:style>
  <w:style w:type="paragraph" w:customStyle="1" w:styleId="Default">
    <w:name w:val="Default"/>
    <w:rsid w:val="00AA67A4"/>
    <w:pPr>
      <w:autoSpaceDE w:val="0"/>
      <w:autoSpaceDN w:val="0"/>
      <w:adjustRightInd w:val="0"/>
    </w:pPr>
    <w:rPr>
      <w:color w:val="000000"/>
      <w:sz w:val="24"/>
      <w:szCs w:val="24"/>
    </w:rPr>
  </w:style>
  <w:style w:type="character" w:styleId="Hyperlink">
    <w:name w:val="Hyperlink"/>
    <w:rsid w:val="00C6073E"/>
    <w:rPr>
      <w:color w:val="0000FF"/>
      <w:u w:val="single"/>
    </w:rPr>
  </w:style>
  <w:style w:type="paragraph" w:styleId="BodyText">
    <w:name w:val="Body Text"/>
    <w:basedOn w:val="Normal"/>
    <w:rsid w:val="00C6073E"/>
    <w:pPr>
      <w:spacing w:after="120"/>
    </w:pPr>
  </w:style>
  <w:style w:type="paragraph" w:customStyle="1" w:styleId="visited">
    <w:name w:val="visited"/>
    <w:basedOn w:val="Normal"/>
    <w:rsid w:val="001B16A6"/>
    <w:pPr>
      <w:spacing w:before="100" w:beforeAutospacing="1" w:after="100" w:afterAutospacing="1"/>
    </w:pPr>
  </w:style>
  <w:style w:type="paragraph" w:styleId="Header">
    <w:name w:val="header"/>
    <w:basedOn w:val="Normal"/>
    <w:link w:val="HeaderChar"/>
    <w:uiPriority w:val="99"/>
    <w:rsid w:val="008A6D53"/>
    <w:pPr>
      <w:tabs>
        <w:tab w:val="center" w:pos="4320"/>
        <w:tab w:val="right" w:pos="8640"/>
      </w:tabs>
    </w:pPr>
  </w:style>
  <w:style w:type="character" w:customStyle="1" w:styleId="ListParagraphChar">
    <w:name w:val="List Paragraph Char"/>
    <w:link w:val="ListParagraph"/>
    <w:uiPriority w:val="34"/>
    <w:rsid w:val="002C5043"/>
    <w:rPr>
      <w:rFonts w:ascii="Calibri" w:hAnsi="Calibri"/>
      <w:sz w:val="22"/>
      <w:szCs w:val="22"/>
    </w:rPr>
  </w:style>
  <w:style w:type="character" w:customStyle="1" w:styleId="spellver">
    <w:name w:val="spellver"/>
    <w:rsid w:val="004F1F01"/>
  </w:style>
  <w:style w:type="character" w:styleId="CommentReference">
    <w:name w:val="annotation reference"/>
    <w:basedOn w:val="DefaultParagraphFont"/>
    <w:rsid w:val="002D5A30"/>
    <w:rPr>
      <w:sz w:val="16"/>
      <w:szCs w:val="16"/>
    </w:rPr>
  </w:style>
  <w:style w:type="paragraph" w:styleId="CommentText">
    <w:name w:val="annotation text"/>
    <w:basedOn w:val="Normal"/>
    <w:link w:val="CommentTextChar"/>
    <w:rsid w:val="002D5A30"/>
    <w:rPr>
      <w:sz w:val="20"/>
      <w:szCs w:val="20"/>
    </w:rPr>
  </w:style>
  <w:style w:type="character" w:customStyle="1" w:styleId="CommentTextChar">
    <w:name w:val="Comment Text Char"/>
    <w:basedOn w:val="DefaultParagraphFont"/>
    <w:link w:val="CommentText"/>
    <w:rsid w:val="002D5A30"/>
    <w:rPr>
      <w:noProof/>
      <w:lang w:val="id-ID"/>
    </w:rPr>
  </w:style>
  <w:style w:type="paragraph" w:styleId="CommentSubject">
    <w:name w:val="annotation subject"/>
    <w:basedOn w:val="CommentText"/>
    <w:next w:val="CommentText"/>
    <w:link w:val="CommentSubjectChar"/>
    <w:rsid w:val="002D5A30"/>
    <w:rPr>
      <w:b/>
      <w:bCs/>
    </w:rPr>
  </w:style>
  <w:style w:type="character" w:customStyle="1" w:styleId="CommentSubjectChar">
    <w:name w:val="Comment Subject Char"/>
    <w:basedOn w:val="CommentTextChar"/>
    <w:link w:val="CommentSubject"/>
    <w:rsid w:val="002D5A30"/>
    <w:rPr>
      <w:b/>
      <w:bCs/>
      <w:noProof/>
      <w:lang w:val="id-ID"/>
    </w:rPr>
  </w:style>
  <w:style w:type="paragraph" w:styleId="BalloonText">
    <w:name w:val="Balloon Text"/>
    <w:basedOn w:val="Normal"/>
    <w:link w:val="BalloonTextChar"/>
    <w:rsid w:val="002D5A30"/>
    <w:rPr>
      <w:rFonts w:ascii="Tahoma" w:hAnsi="Tahoma" w:cs="Tahoma"/>
      <w:sz w:val="16"/>
      <w:szCs w:val="16"/>
    </w:rPr>
  </w:style>
  <w:style w:type="character" w:customStyle="1" w:styleId="BalloonTextChar">
    <w:name w:val="Balloon Text Char"/>
    <w:basedOn w:val="DefaultParagraphFont"/>
    <w:link w:val="BalloonText"/>
    <w:rsid w:val="002D5A30"/>
    <w:rPr>
      <w:rFonts w:ascii="Tahoma" w:hAnsi="Tahoma" w:cs="Tahoma"/>
      <w:noProof/>
      <w:sz w:val="16"/>
      <w:szCs w:val="16"/>
      <w:lang w:val="id-ID"/>
    </w:rPr>
  </w:style>
  <w:style w:type="character" w:customStyle="1" w:styleId="HeaderChar">
    <w:name w:val="Header Char"/>
    <w:basedOn w:val="DefaultParagraphFont"/>
    <w:link w:val="Header"/>
    <w:uiPriority w:val="99"/>
    <w:rsid w:val="0072060D"/>
    <w:rPr>
      <w:noProof/>
      <w:sz w:val="24"/>
      <w:szCs w:val="24"/>
      <w:lang w:val="id-ID"/>
    </w:rPr>
  </w:style>
  <w:style w:type="character" w:customStyle="1" w:styleId="FooterChar">
    <w:name w:val="Footer Char"/>
    <w:basedOn w:val="DefaultParagraphFont"/>
    <w:link w:val="Footer"/>
    <w:uiPriority w:val="99"/>
    <w:rsid w:val="00B620CF"/>
    <w:rPr>
      <w:noProof/>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7D8"/>
    <w:pPr>
      <w:spacing w:before="100" w:beforeAutospacing="1" w:after="100" w:afterAutospacing="1"/>
    </w:pPr>
  </w:style>
  <w:style w:type="paragraph" w:styleId="ListParagraph">
    <w:name w:val="List Paragraph"/>
    <w:basedOn w:val="Normal"/>
    <w:link w:val="ListParagraphChar"/>
    <w:uiPriority w:val="34"/>
    <w:qFormat/>
    <w:rsid w:val="00111503"/>
    <w:pPr>
      <w:spacing w:after="200" w:line="276" w:lineRule="auto"/>
      <w:ind w:left="720"/>
    </w:pPr>
    <w:rPr>
      <w:rFonts w:ascii="Calibri" w:hAnsi="Calibri"/>
      <w:sz w:val="22"/>
      <w:szCs w:val="22"/>
    </w:rPr>
  </w:style>
  <w:style w:type="character" w:customStyle="1" w:styleId="normalsmall">
    <w:name w:val="normalsmall"/>
    <w:basedOn w:val="DefaultParagraphFont"/>
    <w:rsid w:val="00200E15"/>
  </w:style>
  <w:style w:type="paragraph" w:styleId="Footer">
    <w:name w:val="footer"/>
    <w:basedOn w:val="Normal"/>
    <w:link w:val="FooterChar"/>
    <w:uiPriority w:val="99"/>
    <w:rsid w:val="005D7213"/>
    <w:pPr>
      <w:tabs>
        <w:tab w:val="center" w:pos="4320"/>
        <w:tab w:val="right" w:pos="8640"/>
      </w:tabs>
    </w:pPr>
  </w:style>
  <w:style w:type="character" w:styleId="PageNumber">
    <w:name w:val="page number"/>
    <w:basedOn w:val="DefaultParagraphFont"/>
    <w:rsid w:val="005D7213"/>
  </w:style>
  <w:style w:type="paragraph" w:customStyle="1" w:styleId="Default">
    <w:name w:val="Default"/>
    <w:rsid w:val="00AA67A4"/>
    <w:pPr>
      <w:autoSpaceDE w:val="0"/>
      <w:autoSpaceDN w:val="0"/>
      <w:adjustRightInd w:val="0"/>
    </w:pPr>
    <w:rPr>
      <w:color w:val="000000"/>
      <w:sz w:val="24"/>
      <w:szCs w:val="24"/>
    </w:rPr>
  </w:style>
  <w:style w:type="character" w:styleId="Hyperlink">
    <w:name w:val="Hyperlink"/>
    <w:rsid w:val="00C6073E"/>
    <w:rPr>
      <w:color w:val="0000FF"/>
      <w:u w:val="single"/>
    </w:rPr>
  </w:style>
  <w:style w:type="paragraph" w:styleId="BodyText">
    <w:name w:val="Body Text"/>
    <w:basedOn w:val="Normal"/>
    <w:rsid w:val="00C6073E"/>
    <w:pPr>
      <w:spacing w:after="120"/>
    </w:pPr>
  </w:style>
  <w:style w:type="paragraph" w:customStyle="1" w:styleId="visited">
    <w:name w:val="visited"/>
    <w:basedOn w:val="Normal"/>
    <w:rsid w:val="001B16A6"/>
    <w:pPr>
      <w:spacing w:before="100" w:beforeAutospacing="1" w:after="100" w:afterAutospacing="1"/>
    </w:pPr>
  </w:style>
  <w:style w:type="paragraph" w:styleId="Header">
    <w:name w:val="header"/>
    <w:basedOn w:val="Normal"/>
    <w:link w:val="HeaderChar"/>
    <w:uiPriority w:val="99"/>
    <w:rsid w:val="008A6D53"/>
    <w:pPr>
      <w:tabs>
        <w:tab w:val="center" w:pos="4320"/>
        <w:tab w:val="right" w:pos="8640"/>
      </w:tabs>
    </w:pPr>
  </w:style>
  <w:style w:type="character" w:customStyle="1" w:styleId="ListParagraphChar">
    <w:name w:val="List Paragraph Char"/>
    <w:link w:val="ListParagraph"/>
    <w:uiPriority w:val="34"/>
    <w:rsid w:val="002C5043"/>
    <w:rPr>
      <w:rFonts w:ascii="Calibri" w:hAnsi="Calibri"/>
      <w:sz w:val="22"/>
      <w:szCs w:val="22"/>
    </w:rPr>
  </w:style>
  <w:style w:type="character" w:customStyle="1" w:styleId="spellver">
    <w:name w:val="spellver"/>
    <w:rsid w:val="004F1F01"/>
  </w:style>
  <w:style w:type="character" w:styleId="CommentReference">
    <w:name w:val="annotation reference"/>
    <w:basedOn w:val="DefaultParagraphFont"/>
    <w:rsid w:val="002D5A30"/>
    <w:rPr>
      <w:sz w:val="16"/>
      <w:szCs w:val="16"/>
    </w:rPr>
  </w:style>
  <w:style w:type="paragraph" w:styleId="CommentText">
    <w:name w:val="annotation text"/>
    <w:basedOn w:val="Normal"/>
    <w:link w:val="CommentTextChar"/>
    <w:rsid w:val="002D5A30"/>
    <w:rPr>
      <w:sz w:val="20"/>
      <w:szCs w:val="20"/>
    </w:rPr>
  </w:style>
  <w:style w:type="character" w:customStyle="1" w:styleId="CommentTextChar">
    <w:name w:val="Comment Text Char"/>
    <w:basedOn w:val="DefaultParagraphFont"/>
    <w:link w:val="CommentText"/>
    <w:rsid w:val="002D5A30"/>
    <w:rPr>
      <w:noProof/>
      <w:lang w:val="id-ID"/>
    </w:rPr>
  </w:style>
  <w:style w:type="paragraph" w:styleId="CommentSubject">
    <w:name w:val="annotation subject"/>
    <w:basedOn w:val="CommentText"/>
    <w:next w:val="CommentText"/>
    <w:link w:val="CommentSubjectChar"/>
    <w:rsid w:val="002D5A30"/>
    <w:rPr>
      <w:b/>
      <w:bCs/>
    </w:rPr>
  </w:style>
  <w:style w:type="character" w:customStyle="1" w:styleId="CommentSubjectChar">
    <w:name w:val="Comment Subject Char"/>
    <w:basedOn w:val="CommentTextChar"/>
    <w:link w:val="CommentSubject"/>
    <w:rsid w:val="002D5A30"/>
    <w:rPr>
      <w:b/>
      <w:bCs/>
      <w:noProof/>
      <w:lang w:val="id-ID"/>
    </w:rPr>
  </w:style>
  <w:style w:type="paragraph" w:styleId="BalloonText">
    <w:name w:val="Balloon Text"/>
    <w:basedOn w:val="Normal"/>
    <w:link w:val="BalloonTextChar"/>
    <w:rsid w:val="002D5A30"/>
    <w:rPr>
      <w:rFonts w:ascii="Tahoma" w:hAnsi="Tahoma" w:cs="Tahoma"/>
      <w:sz w:val="16"/>
      <w:szCs w:val="16"/>
    </w:rPr>
  </w:style>
  <w:style w:type="character" w:customStyle="1" w:styleId="BalloonTextChar">
    <w:name w:val="Balloon Text Char"/>
    <w:basedOn w:val="DefaultParagraphFont"/>
    <w:link w:val="BalloonText"/>
    <w:rsid w:val="002D5A30"/>
    <w:rPr>
      <w:rFonts w:ascii="Tahoma" w:hAnsi="Tahoma" w:cs="Tahoma"/>
      <w:noProof/>
      <w:sz w:val="16"/>
      <w:szCs w:val="16"/>
      <w:lang w:val="id-ID"/>
    </w:rPr>
  </w:style>
  <w:style w:type="character" w:customStyle="1" w:styleId="HeaderChar">
    <w:name w:val="Header Char"/>
    <w:basedOn w:val="DefaultParagraphFont"/>
    <w:link w:val="Header"/>
    <w:uiPriority w:val="99"/>
    <w:rsid w:val="0072060D"/>
    <w:rPr>
      <w:noProof/>
      <w:sz w:val="24"/>
      <w:szCs w:val="24"/>
      <w:lang w:val="id-ID"/>
    </w:rPr>
  </w:style>
  <w:style w:type="character" w:customStyle="1" w:styleId="FooterChar">
    <w:name w:val="Footer Char"/>
    <w:basedOn w:val="DefaultParagraphFont"/>
    <w:link w:val="Footer"/>
    <w:uiPriority w:val="99"/>
    <w:rsid w:val="00B620CF"/>
    <w:rPr>
      <w:noProo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4300">
      <w:bodyDiv w:val="1"/>
      <w:marLeft w:val="0"/>
      <w:marRight w:val="0"/>
      <w:marTop w:val="0"/>
      <w:marBottom w:val="0"/>
      <w:divBdr>
        <w:top w:val="none" w:sz="0" w:space="0" w:color="auto"/>
        <w:left w:val="none" w:sz="0" w:space="0" w:color="auto"/>
        <w:bottom w:val="none" w:sz="0" w:space="0" w:color="auto"/>
        <w:right w:val="none" w:sz="0" w:space="0" w:color="auto"/>
      </w:divBdr>
    </w:div>
    <w:div w:id="890076894">
      <w:bodyDiv w:val="1"/>
      <w:marLeft w:val="0"/>
      <w:marRight w:val="0"/>
      <w:marTop w:val="0"/>
      <w:marBottom w:val="0"/>
      <w:divBdr>
        <w:top w:val="none" w:sz="0" w:space="0" w:color="auto"/>
        <w:left w:val="none" w:sz="0" w:space="0" w:color="auto"/>
        <w:bottom w:val="none" w:sz="0" w:space="0" w:color="auto"/>
        <w:right w:val="none" w:sz="0" w:space="0" w:color="auto"/>
      </w:divBdr>
    </w:div>
    <w:div w:id="1537355793">
      <w:bodyDiv w:val="1"/>
      <w:marLeft w:val="0"/>
      <w:marRight w:val="0"/>
      <w:marTop w:val="0"/>
      <w:marBottom w:val="0"/>
      <w:divBdr>
        <w:top w:val="none" w:sz="0" w:space="0" w:color="auto"/>
        <w:left w:val="none" w:sz="0" w:space="0" w:color="auto"/>
        <w:bottom w:val="none" w:sz="0" w:space="0" w:color="auto"/>
        <w:right w:val="none" w:sz="0" w:space="0" w:color="auto"/>
      </w:divBdr>
    </w:div>
    <w:div w:id="1722754048">
      <w:bodyDiv w:val="1"/>
      <w:marLeft w:val="0"/>
      <w:marRight w:val="0"/>
      <w:marTop w:val="0"/>
      <w:marBottom w:val="0"/>
      <w:divBdr>
        <w:top w:val="none" w:sz="0" w:space="0" w:color="auto"/>
        <w:left w:val="none" w:sz="0" w:space="0" w:color="auto"/>
        <w:bottom w:val="none" w:sz="0" w:space="0" w:color="auto"/>
        <w:right w:val="none" w:sz="0" w:space="0" w:color="auto"/>
      </w:divBdr>
    </w:div>
    <w:div w:id="1807967261">
      <w:bodyDiv w:val="1"/>
      <w:marLeft w:val="0"/>
      <w:marRight w:val="0"/>
      <w:marTop w:val="0"/>
      <w:marBottom w:val="0"/>
      <w:divBdr>
        <w:top w:val="none" w:sz="0" w:space="0" w:color="auto"/>
        <w:left w:val="none" w:sz="0" w:space="0" w:color="auto"/>
        <w:bottom w:val="none" w:sz="0" w:space="0" w:color="auto"/>
        <w:right w:val="none" w:sz="0" w:space="0" w:color="auto"/>
      </w:divBdr>
    </w:div>
    <w:div w:id="18528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ifins20@gmail.com" TargetMode="External"/><Relationship Id="rId4" Type="http://schemas.microsoft.com/office/2007/relationships/stylesWithEffects" Target="stylesWithEffects.xml"/><Relationship Id="rId9" Type="http://schemas.openxmlformats.org/officeDocument/2006/relationships/hyperlink" Target="mailto:peni_rey@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70B3-546B-42E1-8C34-9D5B997A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Tugas Manajemen Pembangunan Agribisnis</vt:lpstr>
    </vt:vector>
  </TitlesOfParts>
  <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Tugas Manajemen Pembangunan Agribisnis</dc:title>
  <dc:creator>axioo</dc:creator>
  <cp:lastModifiedBy>LENOVO</cp:lastModifiedBy>
  <cp:revision>20</cp:revision>
  <cp:lastPrinted>2009-10-09T22:23:00Z</cp:lastPrinted>
  <dcterms:created xsi:type="dcterms:W3CDTF">2016-07-27T05:50:00Z</dcterms:created>
  <dcterms:modified xsi:type="dcterms:W3CDTF">2016-08-11T04:06:00Z</dcterms:modified>
</cp:coreProperties>
</file>